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CB946" w14:textId="1FE5E2D2" w:rsidR="00954F65" w:rsidRPr="00954F65" w:rsidRDefault="00A42547">
      <w:pPr>
        <w:rPr>
          <w:b/>
          <w:bCs/>
          <w:sz w:val="28"/>
          <w:szCs w:val="28"/>
          <w:u w:val="single"/>
        </w:rPr>
      </w:pPr>
      <w:r>
        <w:rPr>
          <w:b/>
          <w:bCs/>
          <w:sz w:val="28"/>
          <w:szCs w:val="28"/>
          <w:u w:val="single"/>
        </w:rPr>
        <w:t xml:space="preserve">LANCASHIRE LOCAL PROJECT </w:t>
      </w:r>
      <w:r w:rsidR="00954F65" w:rsidRPr="00954F65">
        <w:rPr>
          <w:b/>
          <w:bCs/>
          <w:sz w:val="28"/>
          <w:szCs w:val="28"/>
          <w:u w:val="single"/>
        </w:rPr>
        <w:t>IMPACT STATEMENT</w:t>
      </w:r>
    </w:p>
    <w:p w14:paraId="1FD1430B" w14:textId="77777777" w:rsidR="00954F65" w:rsidRDefault="00954F65"/>
    <w:p w14:paraId="282A35F5" w14:textId="5B0E2A8A" w:rsidR="00954F65" w:rsidRPr="00954F65" w:rsidRDefault="00954F65" w:rsidP="00954F65">
      <w:pPr>
        <w:jc w:val="both"/>
        <w:rPr>
          <w:rFonts w:ascii="Arial" w:hAnsi="Arial" w:cs="Arial"/>
        </w:rPr>
      </w:pPr>
      <w:r w:rsidRPr="00954F65">
        <w:rPr>
          <w:rFonts w:ascii="Arial" w:hAnsi="Arial" w:cs="Arial"/>
        </w:rPr>
        <w:t xml:space="preserve">Funding will allow </w:t>
      </w:r>
      <w:r w:rsidR="00EF4DE1">
        <w:rPr>
          <w:rFonts w:ascii="Arial" w:hAnsi="Arial" w:cs="Arial"/>
        </w:rPr>
        <w:t xml:space="preserve">LACVS </w:t>
      </w:r>
      <w:r w:rsidRPr="00954F65">
        <w:rPr>
          <w:rFonts w:ascii="Arial" w:hAnsi="Arial" w:cs="Arial"/>
        </w:rPr>
        <w:t xml:space="preserve">to employ and base </w:t>
      </w:r>
      <w:r w:rsidR="00EF4DE1">
        <w:rPr>
          <w:rFonts w:ascii="Arial" w:hAnsi="Arial" w:cs="Arial"/>
        </w:rPr>
        <w:t>four</w:t>
      </w:r>
      <w:r w:rsidRPr="00954F65">
        <w:rPr>
          <w:rFonts w:ascii="Arial" w:hAnsi="Arial" w:cs="Arial"/>
        </w:rPr>
        <w:t xml:space="preserve"> members of staff across three geographical areas to build on the Lancashire LOCAL Manifesto and help support the VCFSE sector across Lancashire achieve positive change in their communities.</w:t>
      </w:r>
    </w:p>
    <w:p w14:paraId="7664B85D" w14:textId="77777777" w:rsidR="00954F65" w:rsidRDefault="00954F65" w:rsidP="00954F65">
      <w:pPr>
        <w:rPr>
          <w:rFonts w:ascii="Trebuchet MS" w:hAnsi="Trebuchet MS"/>
          <w:b/>
          <w:bCs/>
        </w:rPr>
      </w:pPr>
    </w:p>
    <w:p w14:paraId="1101C91D" w14:textId="78ADDDD8" w:rsidR="00954F65" w:rsidRDefault="00954F65" w:rsidP="00954F65">
      <w:pPr>
        <w:rPr>
          <w:rFonts w:ascii="Trebuchet MS" w:hAnsi="Trebuchet MS"/>
        </w:rPr>
      </w:pPr>
      <w:r w:rsidRPr="00954F65">
        <w:rPr>
          <w:rFonts w:ascii="Trebuchet MS" w:hAnsi="Trebuchet MS"/>
        </w:rPr>
        <w:t xml:space="preserve">Over the course of 5 years </w:t>
      </w:r>
      <w:r>
        <w:rPr>
          <w:rFonts w:ascii="Trebuchet MS" w:hAnsi="Trebuchet MS"/>
        </w:rPr>
        <w:t xml:space="preserve">LACVS </w:t>
      </w:r>
      <w:r w:rsidRPr="00954F65">
        <w:rPr>
          <w:rFonts w:ascii="Trebuchet MS" w:hAnsi="Trebuchet MS"/>
        </w:rPr>
        <w:t>will:</w:t>
      </w:r>
    </w:p>
    <w:p w14:paraId="7276F593" w14:textId="58B80276" w:rsidR="00954F65" w:rsidRDefault="00954F65" w:rsidP="00954F65">
      <w:pPr>
        <w:rPr>
          <w:rFonts w:ascii="Trebuchet MS" w:hAnsi="Trebuchet MS"/>
          <w:b/>
          <w:bCs/>
        </w:rPr>
      </w:pPr>
    </w:p>
    <w:tbl>
      <w:tblPr>
        <w:tblStyle w:val="TableGrid"/>
        <w:tblW w:w="0" w:type="auto"/>
        <w:tblLook w:val="04A0" w:firstRow="1" w:lastRow="0" w:firstColumn="1" w:lastColumn="0" w:noHBand="0" w:noVBand="1"/>
      </w:tblPr>
      <w:tblGrid>
        <w:gridCol w:w="3712"/>
        <w:gridCol w:w="1675"/>
        <w:gridCol w:w="4016"/>
        <w:gridCol w:w="1845"/>
        <w:gridCol w:w="2700"/>
      </w:tblGrid>
      <w:tr w:rsidR="00142717" w14:paraId="5C576583" w14:textId="77777777" w:rsidTr="003A2C69">
        <w:tc>
          <w:tcPr>
            <w:tcW w:w="3866" w:type="dxa"/>
          </w:tcPr>
          <w:p w14:paraId="39DD1BC2" w14:textId="1E4D92D8" w:rsidR="00954F65" w:rsidRDefault="00954F65" w:rsidP="00954F65">
            <w:pPr>
              <w:rPr>
                <w:rFonts w:ascii="Trebuchet MS" w:hAnsi="Trebuchet MS"/>
                <w:b/>
                <w:bCs/>
              </w:rPr>
            </w:pPr>
            <w:r>
              <w:rPr>
                <w:rFonts w:ascii="Trebuchet MS" w:hAnsi="Trebuchet MS"/>
                <w:b/>
                <w:bCs/>
              </w:rPr>
              <w:t>Outcome</w:t>
            </w:r>
          </w:p>
        </w:tc>
        <w:tc>
          <w:tcPr>
            <w:tcW w:w="1565" w:type="dxa"/>
          </w:tcPr>
          <w:p w14:paraId="61200EEA" w14:textId="77777777" w:rsidR="00954F65" w:rsidRDefault="00954F65" w:rsidP="00954F65">
            <w:pPr>
              <w:rPr>
                <w:rFonts w:ascii="Trebuchet MS" w:hAnsi="Trebuchet MS"/>
                <w:b/>
                <w:bCs/>
              </w:rPr>
            </w:pPr>
            <w:r>
              <w:rPr>
                <w:rFonts w:ascii="Trebuchet MS" w:hAnsi="Trebuchet MS"/>
                <w:b/>
                <w:bCs/>
              </w:rPr>
              <w:t>Current</w:t>
            </w:r>
          </w:p>
          <w:p w14:paraId="727EA5E2" w14:textId="4CD3E966" w:rsidR="00335CF7" w:rsidRDefault="00335CF7" w:rsidP="00954F65">
            <w:pPr>
              <w:rPr>
                <w:rFonts w:ascii="Trebuchet MS" w:hAnsi="Trebuchet MS"/>
                <w:b/>
                <w:bCs/>
              </w:rPr>
            </w:pPr>
            <w:r>
              <w:rPr>
                <w:rFonts w:ascii="Trebuchet MS" w:hAnsi="Trebuchet MS"/>
                <w:b/>
                <w:bCs/>
              </w:rPr>
              <w:t>Baseline</w:t>
            </w:r>
          </w:p>
        </w:tc>
        <w:tc>
          <w:tcPr>
            <w:tcW w:w="4345" w:type="dxa"/>
          </w:tcPr>
          <w:p w14:paraId="7FAEC915" w14:textId="0D56D3FB" w:rsidR="00954F65" w:rsidRDefault="00954F65" w:rsidP="00954F65">
            <w:pPr>
              <w:rPr>
                <w:rFonts w:ascii="Trebuchet MS" w:hAnsi="Trebuchet MS"/>
                <w:b/>
                <w:bCs/>
              </w:rPr>
            </w:pPr>
            <w:r>
              <w:rPr>
                <w:rFonts w:ascii="Trebuchet MS" w:hAnsi="Trebuchet MS"/>
                <w:b/>
                <w:bCs/>
              </w:rPr>
              <w:t>Annual Target</w:t>
            </w:r>
          </w:p>
        </w:tc>
        <w:tc>
          <w:tcPr>
            <w:tcW w:w="1418" w:type="dxa"/>
          </w:tcPr>
          <w:p w14:paraId="1A3DC467" w14:textId="77777777" w:rsidR="00335CF7" w:rsidRDefault="00335CF7" w:rsidP="00954F65">
            <w:pPr>
              <w:rPr>
                <w:rFonts w:ascii="Trebuchet MS" w:hAnsi="Trebuchet MS"/>
                <w:b/>
                <w:bCs/>
              </w:rPr>
            </w:pPr>
            <w:r>
              <w:rPr>
                <w:rFonts w:ascii="Trebuchet MS" w:hAnsi="Trebuchet MS"/>
                <w:b/>
                <w:bCs/>
              </w:rPr>
              <w:t>By Year 5</w:t>
            </w:r>
          </w:p>
          <w:p w14:paraId="6F651FBD" w14:textId="43F7F34E" w:rsidR="00954F65" w:rsidRDefault="00954F65" w:rsidP="00954F65">
            <w:pPr>
              <w:rPr>
                <w:rFonts w:ascii="Trebuchet MS" w:hAnsi="Trebuchet MS"/>
                <w:b/>
                <w:bCs/>
              </w:rPr>
            </w:pPr>
            <w:r>
              <w:rPr>
                <w:rFonts w:ascii="Trebuchet MS" w:hAnsi="Trebuchet MS"/>
                <w:b/>
                <w:bCs/>
              </w:rPr>
              <w:t>Total</w:t>
            </w:r>
          </w:p>
        </w:tc>
        <w:tc>
          <w:tcPr>
            <w:tcW w:w="2754" w:type="dxa"/>
          </w:tcPr>
          <w:p w14:paraId="157F9245" w14:textId="04D0EF8B" w:rsidR="00954F65" w:rsidRDefault="00954F65" w:rsidP="00954F65">
            <w:pPr>
              <w:rPr>
                <w:rFonts w:ascii="Trebuchet MS" w:hAnsi="Trebuchet MS"/>
                <w:b/>
                <w:bCs/>
              </w:rPr>
            </w:pPr>
            <w:r>
              <w:rPr>
                <w:rFonts w:ascii="Trebuchet MS" w:hAnsi="Trebuchet MS"/>
                <w:b/>
                <w:bCs/>
              </w:rPr>
              <w:t>Commentary</w:t>
            </w:r>
          </w:p>
        </w:tc>
      </w:tr>
      <w:tr w:rsidR="00142717" w14:paraId="58CB4890" w14:textId="77777777" w:rsidTr="003A2C69">
        <w:tc>
          <w:tcPr>
            <w:tcW w:w="3866" w:type="dxa"/>
          </w:tcPr>
          <w:p w14:paraId="1FDE3114" w14:textId="49DC6B9D" w:rsidR="00954F65" w:rsidRDefault="00954F65" w:rsidP="00335CF7">
            <w:pPr>
              <w:jc w:val="both"/>
              <w:rPr>
                <w:rFonts w:ascii="Trebuchet MS" w:hAnsi="Trebuchet MS"/>
                <w:b/>
                <w:bCs/>
              </w:rPr>
            </w:pPr>
            <w:r w:rsidRPr="00954F65">
              <w:rPr>
                <w:rFonts w:ascii="Trebuchet MS" w:hAnsi="Trebuchet MS"/>
              </w:rPr>
              <w:t xml:space="preserve">1. Increase engagement with VCFSE Sector organisations across Lancashire </w:t>
            </w:r>
          </w:p>
        </w:tc>
        <w:tc>
          <w:tcPr>
            <w:tcW w:w="1565" w:type="dxa"/>
          </w:tcPr>
          <w:p w14:paraId="0BAFAAE6" w14:textId="77777777" w:rsidR="00954F65" w:rsidRPr="00954F65" w:rsidRDefault="00954F65" w:rsidP="00954F65">
            <w:pPr>
              <w:rPr>
                <w:rFonts w:ascii="Trebuchet MS" w:hAnsi="Trebuchet MS"/>
              </w:rPr>
            </w:pPr>
            <w:r w:rsidRPr="00954F65">
              <w:rPr>
                <w:rFonts w:ascii="Trebuchet MS" w:hAnsi="Trebuchet MS"/>
              </w:rPr>
              <w:t>LACVS Estimate</w:t>
            </w:r>
          </w:p>
          <w:p w14:paraId="2A0D819E" w14:textId="28A63799" w:rsidR="00954F65" w:rsidRDefault="00954F65" w:rsidP="00954F65">
            <w:pPr>
              <w:rPr>
                <w:rFonts w:ascii="Trebuchet MS" w:hAnsi="Trebuchet MS"/>
                <w:b/>
                <w:bCs/>
              </w:rPr>
            </w:pPr>
            <w:r w:rsidRPr="00954F65">
              <w:rPr>
                <w:rFonts w:ascii="Trebuchet MS" w:hAnsi="Trebuchet MS"/>
              </w:rPr>
              <w:t>+4000 VCFSE organisations engaged</w:t>
            </w:r>
          </w:p>
        </w:tc>
        <w:tc>
          <w:tcPr>
            <w:tcW w:w="4345" w:type="dxa"/>
          </w:tcPr>
          <w:p w14:paraId="63324A76" w14:textId="4CCD103B" w:rsidR="00954F65" w:rsidRPr="00335CF7" w:rsidRDefault="00335CF7" w:rsidP="00335CF7">
            <w:pPr>
              <w:jc w:val="both"/>
              <w:rPr>
                <w:rFonts w:ascii="Trebuchet MS" w:hAnsi="Trebuchet MS"/>
              </w:rPr>
            </w:pPr>
            <w:r w:rsidRPr="00335CF7">
              <w:rPr>
                <w:rFonts w:ascii="Trebuchet MS" w:hAnsi="Trebuchet MS"/>
              </w:rPr>
              <w:t xml:space="preserve">20% increase </w:t>
            </w:r>
            <w:r>
              <w:rPr>
                <w:rFonts w:ascii="Trebuchet MS" w:hAnsi="Trebuchet MS"/>
              </w:rPr>
              <w:t>each year on the number of VCFSE organisations engaged with LACVS and its members</w:t>
            </w:r>
            <w:r w:rsidR="003A2C69">
              <w:rPr>
                <w:rFonts w:ascii="Trebuchet MS" w:hAnsi="Trebuchet MS"/>
              </w:rPr>
              <w:t>.</w:t>
            </w:r>
            <w:r w:rsidR="003A2C69">
              <w:rPr>
                <w:rStyle w:val="FootnoteReference"/>
                <w:rFonts w:ascii="Trebuchet MS" w:hAnsi="Trebuchet MS"/>
              </w:rPr>
              <w:footnoteReference w:id="1"/>
            </w:r>
          </w:p>
        </w:tc>
        <w:tc>
          <w:tcPr>
            <w:tcW w:w="1418" w:type="dxa"/>
          </w:tcPr>
          <w:p w14:paraId="7D5659CF" w14:textId="314DA8B7" w:rsidR="00954F65" w:rsidRPr="00335CF7" w:rsidRDefault="00954F65" w:rsidP="00142717">
            <w:pPr>
              <w:jc w:val="center"/>
              <w:rPr>
                <w:rFonts w:ascii="Trebuchet MS" w:hAnsi="Trebuchet MS"/>
              </w:rPr>
            </w:pPr>
            <w:r w:rsidRPr="00335CF7">
              <w:rPr>
                <w:rFonts w:ascii="Trebuchet MS" w:hAnsi="Trebuchet MS"/>
              </w:rPr>
              <w:t>+8000 VCFSE Organisations</w:t>
            </w:r>
            <w:r w:rsidR="003A2C69">
              <w:rPr>
                <w:rFonts w:ascii="Trebuchet MS" w:hAnsi="Trebuchet MS"/>
              </w:rPr>
              <w:t xml:space="preserve"> </w:t>
            </w:r>
            <w:proofErr w:type="gramStart"/>
            <w:r w:rsidR="003A2C69">
              <w:rPr>
                <w:rFonts w:ascii="Trebuchet MS" w:hAnsi="Trebuchet MS"/>
              </w:rPr>
              <w:t>engaged</w:t>
            </w:r>
            <w:proofErr w:type="gramEnd"/>
          </w:p>
          <w:p w14:paraId="109B6723" w14:textId="77777777" w:rsidR="00954F65" w:rsidRDefault="00954F65" w:rsidP="00954F65">
            <w:pPr>
              <w:rPr>
                <w:rFonts w:ascii="Trebuchet MS" w:hAnsi="Trebuchet MS"/>
                <w:b/>
                <w:bCs/>
              </w:rPr>
            </w:pPr>
          </w:p>
          <w:p w14:paraId="1B5F7653" w14:textId="64B572E0" w:rsidR="00954F65" w:rsidRDefault="00954F65" w:rsidP="00954F65">
            <w:pPr>
              <w:rPr>
                <w:rFonts w:ascii="Trebuchet MS" w:hAnsi="Trebuchet MS"/>
                <w:b/>
                <w:bCs/>
              </w:rPr>
            </w:pPr>
          </w:p>
        </w:tc>
        <w:tc>
          <w:tcPr>
            <w:tcW w:w="2754" w:type="dxa"/>
          </w:tcPr>
          <w:p w14:paraId="384AFF62" w14:textId="0BB0BE3F" w:rsidR="00954F65" w:rsidRPr="00335CF7" w:rsidRDefault="00335CF7" w:rsidP="00335CF7">
            <w:pPr>
              <w:jc w:val="both"/>
              <w:rPr>
                <w:rFonts w:ascii="Trebuchet MS" w:hAnsi="Trebuchet MS"/>
              </w:rPr>
            </w:pPr>
            <w:r>
              <w:rPr>
                <w:rFonts w:ascii="Trebuchet MS" w:hAnsi="Trebuchet MS"/>
              </w:rPr>
              <w:t>During the 1</w:t>
            </w:r>
            <w:r w:rsidRPr="00335CF7">
              <w:rPr>
                <w:rFonts w:ascii="Trebuchet MS" w:hAnsi="Trebuchet MS"/>
                <w:vertAlign w:val="superscript"/>
              </w:rPr>
              <w:t>st</w:t>
            </w:r>
            <w:r>
              <w:rPr>
                <w:rFonts w:ascii="Trebuchet MS" w:hAnsi="Trebuchet MS"/>
              </w:rPr>
              <w:t xml:space="preserve"> year of the </w:t>
            </w:r>
            <w:proofErr w:type="gramStart"/>
            <w:r>
              <w:rPr>
                <w:rFonts w:ascii="Trebuchet MS" w:hAnsi="Trebuchet MS"/>
              </w:rPr>
              <w:t>project</w:t>
            </w:r>
            <w:proofErr w:type="gramEnd"/>
            <w:r>
              <w:rPr>
                <w:rFonts w:ascii="Trebuchet MS" w:hAnsi="Trebuchet MS"/>
              </w:rPr>
              <w:t xml:space="preserve"> we will establish a </w:t>
            </w:r>
            <w:r w:rsidR="003A2C69">
              <w:rPr>
                <w:rFonts w:ascii="Trebuchet MS" w:hAnsi="Trebuchet MS"/>
              </w:rPr>
              <w:t>shared list of VCFSE organisations – which we can use to monitor development and growth</w:t>
            </w:r>
            <w:r w:rsidR="00EF4DE1">
              <w:rPr>
                <w:rFonts w:ascii="Trebuchet MS" w:hAnsi="Trebuchet MS"/>
              </w:rPr>
              <w:t xml:space="preserve"> (at least 20% per year)</w:t>
            </w:r>
            <w:r w:rsidR="003A2C69">
              <w:rPr>
                <w:rFonts w:ascii="Trebuchet MS" w:hAnsi="Trebuchet MS"/>
              </w:rPr>
              <w:t>.</w:t>
            </w:r>
          </w:p>
        </w:tc>
      </w:tr>
      <w:tr w:rsidR="00142717" w14:paraId="239EC21B" w14:textId="77777777" w:rsidTr="003A2C69">
        <w:tc>
          <w:tcPr>
            <w:tcW w:w="3866" w:type="dxa"/>
          </w:tcPr>
          <w:p w14:paraId="09ABA5AA" w14:textId="3369DDEB" w:rsidR="00954F65" w:rsidRDefault="00954F65" w:rsidP="006F0332">
            <w:pPr>
              <w:jc w:val="both"/>
              <w:rPr>
                <w:rFonts w:ascii="Trebuchet MS" w:hAnsi="Trebuchet MS"/>
                <w:b/>
                <w:bCs/>
              </w:rPr>
            </w:pPr>
            <w:r w:rsidRPr="006F0332">
              <w:rPr>
                <w:rFonts w:ascii="Trebuchet MS" w:hAnsi="Trebuchet MS"/>
              </w:rPr>
              <w:t>2.</w:t>
            </w:r>
            <w:r w:rsidR="00335CF7" w:rsidRPr="006F0332">
              <w:rPr>
                <w:rFonts w:ascii="Trebuchet MS" w:hAnsi="Trebuchet MS"/>
              </w:rPr>
              <w:t xml:space="preserve"> Deliver conferences and events to feed into evidence</w:t>
            </w:r>
            <w:r w:rsidR="006F0332">
              <w:rPr>
                <w:rFonts w:ascii="Trebuchet MS" w:hAnsi="Trebuchet MS"/>
              </w:rPr>
              <w:t>-</w:t>
            </w:r>
            <w:r w:rsidR="00335CF7" w:rsidRPr="006F0332">
              <w:rPr>
                <w:rFonts w:ascii="Trebuchet MS" w:hAnsi="Trebuchet MS"/>
              </w:rPr>
              <w:t xml:space="preserve"> based reporting to produce collaborative action across </w:t>
            </w:r>
            <w:r w:rsidR="006F0332">
              <w:rPr>
                <w:rFonts w:ascii="Trebuchet MS" w:hAnsi="Trebuchet MS"/>
              </w:rPr>
              <w:t>Lancashire.</w:t>
            </w:r>
            <w:r w:rsidR="00335CF7" w:rsidRPr="006F0332">
              <w:rPr>
                <w:rFonts w:ascii="Trebuchet MS" w:hAnsi="Trebuchet MS"/>
              </w:rPr>
              <w:t xml:space="preserve"> </w:t>
            </w:r>
          </w:p>
        </w:tc>
        <w:tc>
          <w:tcPr>
            <w:tcW w:w="1565" w:type="dxa"/>
          </w:tcPr>
          <w:p w14:paraId="18FF2D12" w14:textId="3F329B82" w:rsidR="00954F65" w:rsidRPr="006F0332" w:rsidRDefault="006F0332" w:rsidP="00954F65">
            <w:pPr>
              <w:rPr>
                <w:rFonts w:ascii="Trebuchet MS" w:hAnsi="Trebuchet MS"/>
              </w:rPr>
            </w:pPr>
            <w:r w:rsidRPr="006F0332">
              <w:rPr>
                <w:rFonts w:ascii="Trebuchet MS" w:hAnsi="Trebuchet MS"/>
              </w:rPr>
              <w:t>No planned LACVS events to progress the VCFSE Manifesto.</w:t>
            </w:r>
          </w:p>
        </w:tc>
        <w:tc>
          <w:tcPr>
            <w:tcW w:w="4345" w:type="dxa"/>
          </w:tcPr>
          <w:p w14:paraId="498F5197" w14:textId="56E751B7" w:rsidR="00954F65" w:rsidRDefault="00335CF7" w:rsidP="006F0332">
            <w:pPr>
              <w:jc w:val="both"/>
              <w:rPr>
                <w:rFonts w:ascii="Trebuchet MS" w:hAnsi="Trebuchet MS"/>
              </w:rPr>
            </w:pPr>
            <w:r w:rsidRPr="00335CF7">
              <w:rPr>
                <w:rFonts w:ascii="Trebuchet MS" w:hAnsi="Trebuchet MS"/>
              </w:rPr>
              <w:t>LACVS events</w:t>
            </w:r>
            <w:r>
              <w:rPr>
                <w:rFonts w:ascii="Trebuchet MS" w:hAnsi="Trebuchet MS"/>
              </w:rPr>
              <w:t xml:space="preserve"> minimum of</w:t>
            </w:r>
            <w:r w:rsidRPr="00335CF7">
              <w:rPr>
                <w:rFonts w:ascii="Trebuchet MS" w:hAnsi="Trebuchet MS"/>
              </w:rPr>
              <w:t xml:space="preserve"> 6 per year</w:t>
            </w:r>
            <w:r>
              <w:rPr>
                <w:rFonts w:ascii="Trebuchet MS" w:hAnsi="Trebuchet MS"/>
              </w:rPr>
              <w:t xml:space="preserve"> as part of the project and </w:t>
            </w:r>
            <w:r w:rsidR="006F0332">
              <w:rPr>
                <w:rFonts w:ascii="Trebuchet MS" w:hAnsi="Trebuchet MS"/>
              </w:rPr>
              <w:t>helping to build on the VCFSE Manifesto.</w:t>
            </w:r>
          </w:p>
          <w:p w14:paraId="3CE46D88" w14:textId="77777777" w:rsidR="00335CF7" w:rsidRDefault="00335CF7" w:rsidP="00954F65">
            <w:pPr>
              <w:rPr>
                <w:rFonts w:ascii="Trebuchet MS" w:hAnsi="Trebuchet MS"/>
              </w:rPr>
            </w:pPr>
          </w:p>
          <w:p w14:paraId="1070DBDE" w14:textId="7641245E" w:rsidR="00335CF7" w:rsidRPr="00335CF7" w:rsidRDefault="00335CF7" w:rsidP="00335CF7">
            <w:pPr>
              <w:jc w:val="both"/>
              <w:rPr>
                <w:rFonts w:ascii="Trebuchet MS" w:hAnsi="Trebuchet MS"/>
              </w:rPr>
            </w:pPr>
            <w:r>
              <w:rPr>
                <w:rFonts w:ascii="Trebuchet MS" w:hAnsi="Trebuchet MS"/>
              </w:rPr>
              <w:t xml:space="preserve">LACVS capturing and aggregating information from more localised events (separately funded) – minimum of 5 per quarter (1 per </w:t>
            </w:r>
            <w:proofErr w:type="gramStart"/>
            <w:r>
              <w:rPr>
                <w:rFonts w:ascii="Trebuchet MS" w:hAnsi="Trebuchet MS"/>
              </w:rPr>
              <w:t>place based</w:t>
            </w:r>
            <w:proofErr w:type="gramEnd"/>
            <w:r>
              <w:rPr>
                <w:rFonts w:ascii="Trebuchet MS" w:hAnsi="Trebuchet MS"/>
              </w:rPr>
              <w:t xml:space="preserve"> partnership and Local Delivery Unit)</w:t>
            </w:r>
          </w:p>
        </w:tc>
        <w:tc>
          <w:tcPr>
            <w:tcW w:w="1418" w:type="dxa"/>
          </w:tcPr>
          <w:p w14:paraId="47ED1E86" w14:textId="77777777" w:rsidR="00954F65" w:rsidRDefault="003A2C69" w:rsidP="00142717">
            <w:pPr>
              <w:jc w:val="center"/>
              <w:rPr>
                <w:rFonts w:ascii="Trebuchet MS" w:hAnsi="Trebuchet MS"/>
              </w:rPr>
            </w:pPr>
            <w:r>
              <w:rPr>
                <w:rFonts w:ascii="Trebuchet MS" w:hAnsi="Trebuchet MS"/>
              </w:rPr>
              <w:t>30 events in total directly linked to the project.</w:t>
            </w:r>
          </w:p>
          <w:p w14:paraId="41B57B65" w14:textId="77777777" w:rsidR="003A2C69" w:rsidRDefault="003A2C69" w:rsidP="00142717">
            <w:pPr>
              <w:jc w:val="center"/>
              <w:rPr>
                <w:rFonts w:ascii="Trebuchet MS" w:hAnsi="Trebuchet MS"/>
              </w:rPr>
            </w:pPr>
          </w:p>
          <w:p w14:paraId="54AF7C55" w14:textId="3DF4F11F" w:rsidR="003A2C69" w:rsidRPr="003A2C69" w:rsidRDefault="003A2C69" w:rsidP="00142717">
            <w:pPr>
              <w:jc w:val="center"/>
              <w:rPr>
                <w:rFonts w:ascii="Trebuchet MS" w:hAnsi="Trebuchet MS"/>
              </w:rPr>
            </w:pPr>
            <w:r>
              <w:rPr>
                <w:rFonts w:ascii="Trebuchet MS" w:hAnsi="Trebuchet MS"/>
              </w:rPr>
              <w:t>100 events indirectly linked</w:t>
            </w:r>
            <w:r w:rsidR="00EF4DE1">
              <w:rPr>
                <w:rFonts w:ascii="Trebuchet MS" w:hAnsi="Trebuchet MS"/>
              </w:rPr>
              <w:t xml:space="preserve"> – where we will use intelligence</w:t>
            </w:r>
          </w:p>
        </w:tc>
        <w:tc>
          <w:tcPr>
            <w:tcW w:w="2754" w:type="dxa"/>
          </w:tcPr>
          <w:p w14:paraId="6B41BAEB" w14:textId="77777777" w:rsidR="00954F65" w:rsidRDefault="00954F65" w:rsidP="00954F65">
            <w:pPr>
              <w:rPr>
                <w:rFonts w:ascii="Trebuchet MS" w:hAnsi="Trebuchet MS"/>
                <w:b/>
                <w:bCs/>
              </w:rPr>
            </w:pPr>
          </w:p>
        </w:tc>
      </w:tr>
      <w:tr w:rsidR="00142717" w14:paraId="0F12B301" w14:textId="77777777" w:rsidTr="003A2C69">
        <w:tc>
          <w:tcPr>
            <w:tcW w:w="3866" w:type="dxa"/>
          </w:tcPr>
          <w:p w14:paraId="173166DA" w14:textId="08564FF0" w:rsidR="006F0332" w:rsidRPr="006F0332" w:rsidRDefault="00954F65" w:rsidP="006F0332">
            <w:pPr>
              <w:jc w:val="both"/>
              <w:rPr>
                <w:rFonts w:ascii="Trebuchet MS" w:hAnsi="Trebuchet MS"/>
              </w:rPr>
            </w:pPr>
            <w:r w:rsidRPr="006F0332">
              <w:rPr>
                <w:rFonts w:ascii="Trebuchet MS" w:hAnsi="Trebuchet MS"/>
              </w:rPr>
              <w:t>3.</w:t>
            </w:r>
            <w:r w:rsidR="006F0332" w:rsidRPr="006F0332">
              <w:rPr>
                <w:rFonts w:ascii="Trebuchet MS" w:hAnsi="Trebuchet MS"/>
              </w:rPr>
              <w:t xml:space="preserve"> Report and reflect positive change at a neighbourhood level</w:t>
            </w:r>
            <w:r w:rsidR="006F0332">
              <w:rPr>
                <w:rFonts w:ascii="Trebuchet MS" w:hAnsi="Trebuchet MS"/>
              </w:rPr>
              <w:t>.</w:t>
            </w:r>
            <w:r w:rsidR="006F0332" w:rsidRPr="006F0332">
              <w:rPr>
                <w:rFonts w:ascii="Trebuchet MS" w:hAnsi="Trebuchet MS"/>
              </w:rPr>
              <w:t xml:space="preserve"> </w:t>
            </w:r>
          </w:p>
          <w:p w14:paraId="1C893A90" w14:textId="6E438927" w:rsidR="00954F65" w:rsidRDefault="006F0332" w:rsidP="00142717">
            <w:pPr>
              <w:rPr>
                <w:rFonts w:ascii="Trebuchet MS" w:hAnsi="Trebuchet MS"/>
                <w:b/>
                <w:bCs/>
              </w:rPr>
            </w:pPr>
            <w:r>
              <w:rPr>
                <w:rFonts w:ascii="Verdana" w:hAnsi="Verdana"/>
                <w:i/>
                <w:iCs/>
                <w:color w:val="FF0000"/>
              </w:rPr>
              <w:t>                                </w:t>
            </w:r>
          </w:p>
        </w:tc>
        <w:tc>
          <w:tcPr>
            <w:tcW w:w="1565" w:type="dxa"/>
          </w:tcPr>
          <w:p w14:paraId="579854FE" w14:textId="3407D81A" w:rsidR="00954F65" w:rsidRPr="003A2C69" w:rsidRDefault="003A2C69" w:rsidP="003A2C69">
            <w:pPr>
              <w:jc w:val="both"/>
              <w:rPr>
                <w:rFonts w:ascii="Trebuchet MS" w:hAnsi="Trebuchet MS"/>
              </w:rPr>
            </w:pPr>
            <w:r w:rsidRPr="003A2C69">
              <w:rPr>
                <w:rFonts w:ascii="Trebuchet MS" w:hAnsi="Trebuchet MS"/>
              </w:rPr>
              <w:t xml:space="preserve">No consistent way to </w:t>
            </w:r>
            <w:r w:rsidR="00142717">
              <w:rPr>
                <w:rFonts w:ascii="Trebuchet MS" w:hAnsi="Trebuchet MS"/>
              </w:rPr>
              <w:t xml:space="preserve">profile VCFSE at the neighbourhood level or to </w:t>
            </w:r>
            <w:r w:rsidR="00142717">
              <w:rPr>
                <w:rFonts w:ascii="Trebuchet MS" w:hAnsi="Trebuchet MS"/>
              </w:rPr>
              <w:lastRenderedPageBreak/>
              <w:t>monitor  positive change.</w:t>
            </w:r>
            <w:r>
              <w:rPr>
                <w:rFonts w:ascii="Trebuchet MS" w:hAnsi="Trebuchet MS"/>
              </w:rPr>
              <w:t xml:space="preserve"> </w:t>
            </w:r>
          </w:p>
        </w:tc>
        <w:tc>
          <w:tcPr>
            <w:tcW w:w="4345" w:type="dxa"/>
          </w:tcPr>
          <w:p w14:paraId="6E11AA7A" w14:textId="77777777" w:rsidR="00954F65" w:rsidRDefault="00142717" w:rsidP="00142717">
            <w:pPr>
              <w:jc w:val="both"/>
              <w:rPr>
                <w:rFonts w:ascii="Trebuchet MS" w:hAnsi="Trebuchet MS"/>
              </w:rPr>
            </w:pPr>
            <w:r w:rsidRPr="00142717">
              <w:rPr>
                <w:rFonts w:ascii="Trebuchet MS" w:hAnsi="Trebuchet MS"/>
              </w:rPr>
              <w:lastRenderedPageBreak/>
              <w:t xml:space="preserve">Year 1: </w:t>
            </w:r>
            <w:r>
              <w:rPr>
                <w:rFonts w:ascii="Trebuchet MS" w:hAnsi="Trebuchet MS"/>
              </w:rPr>
              <w:t>agree common methodology to profile and monitor neighbourhood level work.</w:t>
            </w:r>
          </w:p>
          <w:p w14:paraId="7E667ACB" w14:textId="076A873A" w:rsidR="00142717" w:rsidRDefault="00142717" w:rsidP="00142717">
            <w:pPr>
              <w:jc w:val="both"/>
              <w:rPr>
                <w:rFonts w:ascii="Trebuchet MS" w:hAnsi="Trebuchet MS"/>
              </w:rPr>
            </w:pPr>
            <w:r>
              <w:rPr>
                <w:rFonts w:ascii="Trebuchet MS" w:hAnsi="Trebuchet MS"/>
              </w:rPr>
              <w:t xml:space="preserve">Year 2: Select one neighbourhood in each of the place-based partnership </w:t>
            </w:r>
            <w:r>
              <w:rPr>
                <w:rFonts w:ascii="Trebuchet MS" w:hAnsi="Trebuchet MS"/>
              </w:rPr>
              <w:lastRenderedPageBreak/>
              <w:t>areas / local delivery units to pilot the approach.</w:t>
            </w:r>
          </w:p>
          <w:p w14:paraId="72125D32" w14:textId="77777777" w:rsidR="00142717" w:rsidRDefault="00142717" w:rsidP="00142717">
            <w:pPr>
              <w:jc w:val="both"/>
              <w:rPr>
                <w:rFonts w:ascii="Trebuchet MS" w:hAnsi="Trebuchet MS"/>
              </w:rPr>
            </w:pPr>
          </w:p>
          <w:p w14:paraId="629040C4" w14:textId="0DCF3832" w:rsidR="00142717" w:rsidRDefault="00142717" w:rsidP="00142717">
            <w:pPr>
              <w:jc w:val="both"/>
              <w:rPr>
                <w:rFonts w:ascii="Trebuchet MS" w:hAnsi="Trebuchet MS"/>
              </w:rPr>
            </w:pPr>
            <w:r>
              <w:rPr>
                <w:rFonts w:ascii="Trebuchet MS" w:hAnsi="Trebuchet MS"/>
              </w:rPr>
              <w:t>Year 3: Interim Report on each of the 5 neighbourhood pilots</w:t>
            </w:r>
          </w:p>
          <w:p w14:paraId="530B1DF0" w14:textId="6C886437" w:rsidR="00142717" w:rsidRDefault="00142717" w:rsidP="00142717">
            <w:pPr>
              <w:jc w:val="both"/>
              <w:rPr>
                <w:rFonts w:ascii="Trebuchet MS" w:hAnsi="Trebuchet MS"/>
              </w:rPr>
            </w:pPr>
          </w:p>
          <w:p w14:paraId="47797EA0" w14:textId="39532F40" w:rsidR="00142717" w:rsidRDefault="00142717" w:rsidP="00142717">
            <w:pPr>
              <w:jc w:val="both"/>
              <w:rPr>
                <w:rFonts w:ascii="Trebuchet MS" w:hAnsi="Trebuchet MS"/>
              </w:rPr>
            </w:pPr>
            <w:r>
              <w:rPr>
                <w:rFonts w:ascii="Trebuchet MS" w:hAnsi="Trebuchet MS"/>
              </w:rPr>
              <w:t>Year 4 onwards: secure funding from a non NLCF source to roll out the approach to other neighbourhoods.</w:t>
            </w:r>
          </w:p>
          <w:p w14:paraId="7C71C89E" w14:textId="552ACC05" w:rsidR="00142717" w:rsidRDefault="00142717" w:rsidP="00142717">
            <w:pPr>
              <w:jc w:val="both"/>
              <w:rPr>
                <w:rFonts w:ascii="Trebuchet MS" w:hAnsi="Trebuchet MS"/>
              </w:rPr>
            </w:pPr>
          </w:p>
          <w:p w14:paraId="65E1BFEB" w14:textId="77777777" w:rsidR="00142717" w:rsidRDefault="00142717" w:rsidP="00142717">
            <w:pPr>
              <w:jc w:val="both"/>
              <w:rPr>
                <w:rFonts w:ascii="Trebuchet MS" w:hAnsi="Trebuchet MS"/>
              </w:rPr>
            </w:pPr>
          </w:p>
          <w:p w14:paraId="5861D869" w14:textId="077601AC" w:rsidR="00142717" w:rsidRDefault="00142717" w:rsidP="00142717">
            <w:pPr>
              <w:jc w:val="both"/>
              <w:rPr>
                <w:rFonts w:ascii="Trebuchet MS" w:hAnsi="Trebuchet MS"/>
              </w:rPr>
            </w:pPr>
            <w:r>
              <w:rPr>
                <w:rFonts w:ascii="Trebuchet MS" w:hAnsi="Trebuchet MS"/>
              </w:rPr>
              <w:t>Year 5: Final Impact Report and Evaluations on each of the 5 neighbourhood pilots.</w:t>
            </w:r>
          </w:p>
          <w:p w14:paraId="0A017456" w14:textId="342A5DEB" w:rsidR="00142717" w:rsidRPr="00142717" w:rsidRDefault="00142717" w:rsidP="00954F65">
            <w:pPr>
              <w:rPr>
                <w:rFonts w:ascii="Trebuchet MS" w:hAnsi="Trebuchet MS"/>
              </w:rPr>
            </w:pPr>
          </w:p>
        </w:tc>
        <w:tc>
          <w:tcPr>
            <w:tcW w:w="1418" w:type="dxa"/>
          </w:tcPr>
          <w:p w14:paraId="0857C58E" w14:textId="77777777" w:rsidR="00954F65" w:rsidRDefault="00142717" w:rsidP="00142717">
            <w:pPr>
              <w:jc w:val="center"/>
              <w:rPr>
                <w:rFonts w:ascii="Trebuchet MS" w:hAnsi="Trebuchet MS"/>
              </w:rPr>
            </w:pPr>
            <w:r>
              <w:rPr>
                <w:rFonts w:ascii="Trebuchet MS" w:hAnsi="Trebuchet MS"/>
              </w:rPr>
              <w:lastRenderedPageBreak/>
              <w:t>Common approach adopted and piloted in 5 neighbourhoods.</w:t>
            </w:r>
          </w:p>
          <w:p w14:paraId="548E644C" w14:textId="77777777" w:rsidR="00142717" w:rsidRDefault="00142717" w:rsidP="00142717">
            <w:pPr>
              <w:jc w:val="center"/>
              <w:rPr>
                <w:rFonts w:ascii="Trebuchet MS" w:hAnsi="Trebuchet MS"/>
              </w:rPr>
            </w:pPr>
          </w:p>
          <w:p w14:paraId="2876B0B4" w14:textId="77777777" w:rsidR="00142717" w:rsidRDefault="00142717" w:rsidP="00142717">
            <w:pPr>
              <w:jc w:val="center"/>
              <w:rPr>
                <w:rFonts w:ascii="Trebuchet MS" w:hAnsi="Trebuchet MS"/>
              </w:rPr>
            </w:pPr>
            <w:r>
              <w:rPr>
                <w:rFonts w:ascii="Trebuchet MS" w:hAnsi="Trebuchet MS"/>
              </w:rPr>
              <w:t>100 VCFSE groups and residents involved in the pilots.</w:t>
            </w:r>
          </w:p>
          <w:p w14:paraId="17195EF2" w14:textId="77777777" w:rsidR="00142717" w:rsidRDefault="00142717" w:rsidP="00142717">
            <w:pPr>
              <w:jc w:val="center"/>
              <w:rPr>
                <w:rFonts w:ascii="Trebuchet MS" w:hAnsi="Trebuchet MS"/>
              </w:rPr>
            </w:pPr>
          </w:p>
          <w:p w14:paraId="027FF70F" w14:textId="77777777" w:rsidR="00142717" w:rsidRDefault="00142717" w:rsidP="00142717">
            <w:pPr>
              <w:jc w:val="center"/>
              <w:rPr>
                <w:rFonts w:ascii="Trebuchet MS" w:hAnsi="Trebuchet MS"/>
              </w:rPr>
            </w:pPr>
            <w:r>
              <w:rPr>
                <w:rFonts w:ascii="Trebuchet MS" w:hAnsi="Trebuchet MS"/>
              </w:rPr>
              <w:t>Funding secured to roll out elsewhere.</w:t>
            </w:r>
          </w:p>
          <w:p w14:paraId="6024B15B" w14:textId="77777777" w:rsidR="00142717" w:rsidRDefault="00142717" w:rsidP="00142717">
            <w:pPr>
              <w:jc w:val="center"/>
              <w:rPr>
                <w:rFonts w:ascii="Trebuchet MS" w:hAnsi="Trebuchet MS"/>
              </w:rPr>
            </w:pPr>
          </w:p>
          <w:p w14:paraId="74D8B578" w14:textId="01C54C1F" w:rsidR="00142717" w:rsidRPr="00142717" w:rsidRDefault="00142717" w:rsidP="00142717">
            <w:pPr>
              <w:jc w:val="center"/>
              <w:rPr>
                <w:rFonts w:ascii="Trebuchet MS" w:hAnsi="Trebuchet MS"/>
              </w:rPr>
            </w:pPr>
            <w:r>
              <w:rPr>
                <w:rFonts w:ascii="Trebuchet MS" w:hAnsi="Trebuchet MS"/>
              </w:rPr>
              <w:t>5 Impact Reports and Evaluations of the 5 Pilots.</w:t>
            </w:r>
          </w:p>
        </w:tc>
        <w:tc>
          <w:tcPr>
            <w:tcW w:w="2754" w:type="dxa"/>
          </w:tcPr>
          <w:p w14:paraId="38B6BF92" w14:textId="2A951967" w:rsidR="00954F65" w:rsidRPr="00142717" w:rsidRDefault="00142717" w:rsidP="00EF4DE1">
            <w:pPr>
              <w:jc w:val="both"/>
              <w:rPr>
                <w:rFonts w:ascii="Trebuchet MS" w:hAnsi="Trebuchet MS"/>
              </w:rPr>
            </w:pPr>
            <w:r>
              <w:rPr>
                <w:rFonts w:ascii="Trebuchet MS" w:hAnsi="Trebuchet MS"/>
              </w:rPr>
              <w:lastRenderedPageBreak/>
              <w:t xml:space="preserve">In selecting the neighbourhoods for the 5 pilots – we will try to </w:t>
            </w:r>
            <w:r w:rsidR="00EF4DE1">
              <w:rPr>
                <w:rFonts w:ascii="Trebuchet MS" w:hAnsi="Trebuchet MS"/>
              </w:rPr>
              <w:t>get a balance of</w:t>
            </w:r>
            <w:r>
              <w:rPr>
                <w:rFonts w:ascii="Trebuchet MS" w:hAnsi="Trebuchet MS"/>
              </w:rPr>
              <w:t xml:space="preserve"> </w:t>
            </w:r>
            <w:r w:rsidR="00EF4DE1">
              <w:rPr>
                <w:rFonts w:ascii="Trebuchet MS" w:hAnsi="Trebuchet MS"/>
              </w:rPr>
              <w:t xml:space="preserve">different neighbourhood </w:t>
            </w:r>
            <w:r w:rsidR="00EF4DE1">
              <w:rPr>
                <w:rFonts w:ascii="Trebuchet MS" w:hAnsi="Trebuchet MS"/>
              </w:rPr>
              <w:lastRenderedPageBreak/>
              <w:t>characteristics (</w:t>
            </w:r>
            <w:proofErr w:type="gramStart"/>
            <w:r w:rsidR="00EF4DE1">
              <w:rPr>
                <w:rFonts w:ascii="Trebuchet MS" w:hAnsi="Trebuchet MS"/>
              </w:rPr>
              <w:t>e.g.</w:t>
            </w:r>
            <w:proofErr w:type="gramEnd"/>
            <w:r w:rsidR="00EF4DE1">
              <w:rPr>
                <w:rFonts w:ascii="Trebuchet MS" w:hAnsi="Trebuchet MS"/>
              </w:rPr>
              <w:t xml:space="preserve"> urban deprived, rural isolation, high BME, etc.)</w:t>
            </w:r>
          </w:p>
        </w:tc>
      </w:tr>
      <w:tr w:rsidR="00142717" w14:paraId="2FFA31E0" w14:textId="77777777" w:rsidTr="003A2C69">
        <w:tc>
          <w:tcPr>
            <w:tcW w:w="3866" w:type="dxa"/>
          </w:tcPr>
          <w:p w14:paraId="3362475B" w14:textId="77777777" w:rsidR="00954F65" w:rsidRDefault="00954F65" w:rsidP="00EF4DE1">
            <w:pPr>
              <w:jc w:val="both"/>
              <w:rPr>
                <w:rFonts w:ascii="Trebuchet MS" w:hAnsi="Trebuchet MS"/>
              </w:rPr>
            </w:pPr>
            <w:r w:rsidRPr="006F0332">
              <w:rPr>
                <w:rFonts w:ascii="Trebuchet MS" w:hAnsi="Trebuchet MS"/>
              </w:rPr>
              <w:lastRenderedPageBreak/>
              <w:t>4.</w:t>
            </w:r>
            <w:r w:rsidR="006F0332" w:rsidRPr="006F0332">
              <w:rPr>
                <w:rFonts w:ascii="Trebuchet MS" w:hAnsi="Trebuchet MS"/>
              </w:rPr>
              <w:t xml:space="preserve"> Establish a VCFSE network in each of the Lancashire 14 areas – reporting how many VCFSE organisations are on the distribution list for each network and feedback from participants to record and reflect what differences the networks are making</w:t>
            </w:r>
          </w:p>
          <w:p w14:paraId="3F752F20" w14:textId="77777777" w:rsidR="00222A85" w:rsidRDefault="00222A85" w:rsidP="00EF4DE1">
            <w:pPr>
              <w:jc w:val="both"/>
              <w:rPr>
                <w:rFonts w:ascii="Trebuchet MS" w:hAnsi="Trebuchet MS"/>
                <w:b/>
                <w:bCs/>
              </w:rPr>
            </w:pPr>
          </w:p>
          <w:p w14:paraId="78A328EA" w14:textId="77777777" w:rsidR="00222A85" w:rsidRDefault="00222A85" w:rsidP="00EF4DE1">
            <w:pPr>
              <w:jc w:val="both"/>
              <w:rPr>
                <w:rFonts w:ascii="Trebuchet MS" w:hAnsi="Trebuchet MS"/>
                <w:b/>
                <w:bCs/>
              </w:rPr>
            </w:pPr>
          </w:p>
          <w:p w14:paraId="21211079" w14:textId="77777777" w:rsidR="00222A85" w:rsidRDefault="00222A85" w:rsidP="00EF4DE1">
            <w:pPr>
              <w:jc w:val="both"/>
              <w:rPr>
                <w:rFonts w:ascii="Trebuchet MS" w:hAnsi="Trebuchet MS"/>
                <w:b/>
                <w:bCs/>
              </w:rPr>
            </w:pPr>
          </w:p>
          <w:p w14:paraId="65E7F728" w14:textId="77777777" w:rsidR="00222A85" w:rsidRDefault="00222A85" w:rsidP="00EF4DE1">
            <w:pPr>
              <w:jc w:val="both"/>
              <w:rPr>
                <w:rFonts w:ascii="Trebuchet MS" w:hAnsi="Trebuchet MS"/>
                <w:b/>
                <w:bCs/>
              </w:rPr>
            </w:pPr>
          </w:p>
          <w:p w14:paraId="4D56B477" w14:textId="77777777" w:rsidR="00222A85" w:rsidRDefault="00222A85" w:rsidP="00EF4DE1">
            <w:pPr>
              <w:jc w:val="both"/>
              <w:rPr>
                <w:rFonts w:ascii="Trebuchet MS" w:hAnsi="Trebuchet MS"/>
                <w:b/>
                <w:bCs/>
              </w:rPr>
            </w:pPr>
          </w:p>
          <w:p w14:paraId="0A0F97C2" w14:textId="77777777" w:rsidR="00222A85" w:rsidRDefault="00222A85" w:rsidP="00EF4DE1">
            <w:pPr>
              <w:jc w:val="both"/>
              <w:rPr>
                <w:rFonts w:ascii="Trebuchet MS" w:hAnsi="Trebuchet MS"/>
                <w:b/>
                <w:bCs/>
              </w:rPr>
            </w:pPr>
          </w:p>
          <w:p w14:paraId="40AD4749" w14:textId="77777777" w:rsidR="00222A85" w:rsidRDefault="00222A85" w:rsidP="00EF4DE1">
            <w:pPr>
              <w:jc w:val="both"/>
              <w:rPr>
                <w:rFonts w:ascii="Trebuchet MS" w:hAnsi="Trebuchet MS"/>
                <w:b/>
                <w:bCs/>
              </w:rPr>
            </w:pPr>
          </w:p>
          <w:p w14:paraId="26897ABF" w14:textId="77777777" w:rsidR="00222A85" w:rsidRDefault="00222A85" w:rsidP="00EF4DE1">
            <w:pPr>
              <w:jc w:val="both"/>
              <w:rPr>
                <w:rFonts w:ascii="Trebuchet MS" w:hAnsi="Trebuchet MS"/>
                <w:b/>
                <w:bCs/>
              </w:rPr>
            </w:pPr>
          </w:p>
          <w:p w14:paraId="64F1C657" w14:textId="77777777" w:rsidR="00222A85" w:rsidRDefault="00222A85" w:rsidP="00EF4DE1">
            <w:pPr>
              <w:jc w:val="both"/>
              <w:rPr>
                <w:rFonts w:ascii="Trebuchet MS" w:hAnsi="Trebuchet MS"/>
                <w:b/>
                <w:bCs/>
              </w:rPr>
            </w:pPr>
          </w:p>
          <w:p w14:paraId="4875F15A" w14:textId="77777777" w:rsidR="00222A85" w:rsidRDefault="00222A85" w:rsidP="00EF4DE1">
            <w:pPr>
              <w:jc w:val="both"/>
              <w:rPr>
                <w:rFonts w:ascii="Trebuchet MS" w:hAnsi="Trebuchet MS"/>
                <w:b/>
                <w:bCs/>
              </w:rPr>
            </w:pPr>
          </w:p>
          <w:p w14:paraId="5B69E316" w14:textId="2A52E05C" w:rsidR="00222A85" w:rsidRDefault="00222A85" w:rsidP="00EF4DE1">
            <w:pPr>
              <w:jc w:val="both"/>
              <w:rPr>
                <w:rFonts w:ascii="Trebuchet MS" w:hAnsi="Trebuchet MS"/>
                <w:b/>
                <w:bCs/>
              </w:rPr>
            </w:pPr>
          </w:p>
        </w:tc>
        <w:tc>
          <w:tcPr>
            <w:tcW w:w="1565" w:type="dxa"/>
          </w:tcPr>
          <w:p w14:paraId="0839A5E7" w14:textId="1C72E457" w:rsidR="00954F65" w:rsidRPr="006F0332" w:rsidRDefault="006F0332" w:rsidP="006F0332">
            <w:pPr>
              <w:jc w:val="both"/>
              <w:rPr>
                <w:rFonts w:ascii="Trebuchet MS" w:hAnsi="Trebuchet MS"/>
              </w:rPr>
            </w:pPr>
            <w:r>
              <w:rPr>
                <w:rFonts w:ascii="Trebuchet MS" w:hAnsi="Trebuchet MS"/>
              </w:rPr>
              <w:t>No baseline available.</w:t>
            </w:r>
          </w:p>
        </w:tc>
        <w:tc>
          <w:tcPr>
            <w:tcW w:w="4345" w:type="dxa"/>
          </w:tcPr>
          <w:p w14:paraId="1CE597E6" w14:textId="03712A8E" w:rsidR="00954F65" w:rsidRDefault="006F0332" w:rsidP="003A2C69">
            <w:pPr>
              <w:jc w:val="both"/>
              <w:rPr>
                <w:rFonts w:ascii="Trebuchet MS" w:hAnsi="Trebuchet MS"/>
              </w:rPr>
            </w:pPr>
            <w:r w:rsidRPr="006F0332">
              <w:rPr>
                <w:rFonts w:ascii="Trebuchet MS" w:hAnsi="Trebuchet MS"/>
              </w:rPr>
              <w:t>Year 1</w:t>
            </w:r>
            <w:r w:rsidR="003A2C69">
              <w:rPr>
                <w:rFonts w:ascii="Trebuchet MS" w:hAnsi="Trebuchet MS"/>
              </w:rPr>
              <w:t>:</w:t>
            </w:r>
            <w:r>
              <w:rPr>
                <w:rFonts w:ascii="Trebuchet MS" w:hAnsi="Trebuchet MS"/>
              </w:rPr>
              <w:t xml:space="preserve"> establish a baseline – map existing networks and the reach.</w:t>
            </w:r>
          </w:p>
          <w:p w14:paraId="42955B87" w14:textId="43B59D7A" w:rsidR="006F0332" w:rsidRDefault="006F0332" w:rsidP="00954F65">
            <w:pPr>
              <w:rPr>
                <w:rFonts w:ascii="Trebuchet MS" w:hAnsi="Trebuchet MS"/>
              </w:rPr>
            </w:pPr>
            <w:r>
              <w:rPr>
                <w:rFonts w:ascii="Trebuchet MS" w:hAnsi="Trebuchet MS"/>
              </w:rPr>
              <w:t xml:space="preserve">Year </w:t>
            </w:r>
            <w:r w:rsidR="00222A85">
              <w:rPr>
                <w:rFonts w:ascii="Trebuchet MS" w:hAnsi="Trebuchet MS"/>
              </w:rPr>
              <w:t>1-5</w:t>
            </w:r>
            <w:r>
              <w:rPr>
                <w:rFonts w:ascii="Trebuchet MS" w:hAnsi="Trebuchet MS"/>
              </w:rPr>
              <w:t>:</w:t>
            </w:r>
            <w:r w:rsidR="003A2C69">
              <w:rPr>
                <w:rFonts w:ascii="Trebuchet MS" w:hAnsi="Trebuchet MS"/>
              </w:rPr>
              <w:t xml:space="preserve"> Start to fill gaps where networks do not exist (</w:t>
            </w:r>
            <w:proofErr w:type="gramStart"/>
            <w:r w:rsidR="003A2C69">
              <w:rPr>
                <w:rFonts w:ascii="Trebuchet MS" w:hAnsi="Trebuchet MS"/>
              </w:rPr>
              <w:t>e.g.</w:t>
            </w:r>
            <w:proofErr w:type="gramEnd"/>
            <w:r w:rsidR="003A2C69">
              <w:rPr>
                <w:rFonts w:ascii="Trebuchet MS" w:hAnsi="Trebuchet MS"/>
              </w:rPr>
              <w:t xml:space="preserve"> Central Lancashire, Fylde and Wyre,</w:t>
            </w:r>
            <w:r w:rsidR="00EF4DE1">
              <w:rPr>
                <w:rFonts w:ascii="Trebuchet MS" w:hAnsi="Trebuchet MS"/>
              </w:rPr>
              <w:t xml:space="preserve"> </w:t>
            </w:r>
            <w:r w:rsidR="003A2C69">
              <w:rPr>
                <w:rFonts w:ascii="Trebuchet MS" w:hAnsi="Trebuchet MS"/>
              </w:rPr>
              <w:t>etc.)</w:t>
            </w:r>
          </w:p>
          <w:p w14:paraId="2380A460" w14:textId="45593F3B" w:rsidR="003A2C69" w:rsidRDefault="003A2C69" w:rsidP="003A2C69">
            <w:pPr>
              <w:jc w:val="both"/>
              <w:rPr>
                <w:rFonts w:ascii="Trebuchet MS" w:hAnsi="Trebuchet MS"/>
              </w:rPr>
            </w:pPr>
            <w:r>
              <w:rPr>
                <w:rFonts w:ascii="Trebuchet MS" w:hAnsi="Trebuchet MS"/>
              </w:rPr>
              <w:t>Year 3: establish arrangements for cross network collaborations at the local delivery unit level or sub regional level.</w:t>
            </w:r>
          </w:p>
          <w:p w14:paraId="0BDB9C71" w14:textId="030D6502" w:rsidR="00222A85" w:rsidRDefault="00222A85" w:rsidP="003A2C69">
            <w:pPr>
              <w:jc w:val="both"/>
              <w:rPr>
                <w:rFonts w:ascii="Trebuchet MS" w:hAnsi="Trebuchet MS"/>
              </w:rPr>
            </w:pPr>
          </w:p>
          <w:p w14:paraId="33E8BBEB" w14:textId="027DF713" w:rsidR="00222A85" w:rsidRDefault="00222A85" w:rsidP="003A2C69">
            <w:pPr>
              <w:jc w:val="both"/>
              <w:rPr>
                <w:rFonts w:ascii="Trebuchet MS" w:hAnsi="Trebuchet MS"/>
              </w:rPr>
            </w:pPr>
          </w:p>
          <w:p w14:paraId="357C5012" w14:textId="77777777" w:rsidR="00222A85" w:rsidRDefault="00222A85" w:rsidP="003A2C69">
            <w:pPr>
              <w:jc w:val="both"/>
              <w:rPr>
                <w:rFonts w:ascii="Trebuchet MS" w:hAnsi="Trebuchet MS"/>
              </w:rPr>
            </w:pPr>
          </w:p>
          <w:p w14:paraId="45636D4F" w14:textId="0D244509" w:rsidR="003A2C69" w:rsidRDefault="003A2C69" w:rsidP="003A2C69">
            <w:pPr>
              <w:jc w:val="both"/>
              <w:rPr>
                <w:rFonts w:ascii="Trebuchet MS" w:hAnsi="Trebuchet MS"/>
              </w:rPr>
            </w:pPr>
            <w:r>
              <w:rPr>
                <w:rFonts w:ascii="Trebuchet MS" w:hAnsi="Trebuchet MS"/>
              </w:rPr>
              <w:t>Year 4:</w:t>
            </w:r>
            <w:r w:rsidR="00EF4DE1">
              <w:rPr>
                <w:rFonts w:ascii="Trebuchet MS" w:hAnsi="Trebuchet MS"/>
              </w:rPr>
              <w:t xml:space="preserve"> grow the network memberships and achieve greater consistency and collaborations between networks.</w:t>
            </w:r>
          </w:p>
          <w:p w14:paraId="269E3967" w14:textId="04A32FE6" w:rsidR="003A2C69" w:rsidRPr="006F0332" w:rsidRDefault="003A2C69" w:rsidP="003A2C69">
            <w:pPr>
              <w:jc w:val="both"/>
              <w:rPr>
                <w:rFonts w:ascii="Trebuchet MS" w:hAnsi="Trebuchet MS"/>
              </w:rPr>
            </w:pPr>
            <w:r>
              <w:rPr>
                <w:rFonts w:ascii="Trebuchet MS" w:hAnsi="Trebuchet MS"/>
              </w:rPr>
              <w:t>Year 5: 14 VCFSE Networks fully established.</w:t>
            </w:r>
          </w:p>
        </w:tc>
        <w:tc>
          <w:tcPr>
            <w:tcW w:w="1418" w:type="dxa"/>
          </w:tcPr>
          <w:p w14:paraId="7C8AE43D" w14:textId="5A315182" w:rsidR="00222A85" w:rsidRDefault="00222A85" w:rsidP="00222A85">
            <w:pPr>
              <w:jc w:val="both"/>
              <w:rPr>
                <w:rFonts w:ascii="Trebuchet MS" w:hAnsi="Trebuchet MS"/>
              </w:rPr>
            </w:pPr>
            <w:r>
              <w:rPr>
                <w:rFonts w:ascii="Trebuchet MS" w:hAnsi="Trebuchet MS"/>
              </w:rPr>
              <w:t>Year 1 to Year 5 – 1 new network per year.</w:t>
            </w:r>
          </w:p>
          <w:p w14:paraId="2A3990EF" w14:textId="77777777" w:rsidR="00222A85" w:rsidRDefault="00222A85" w:rsidP="00222A85">
            <w:pPr>
              <w:jc w:val="both"/>
              <w:rPr>
                <w:rFonts w:ascii="Trebuchet MS" w:hAnsi="Trebuchet MS"/>
              </w:rPr>
            </w:pPr>
          </w:p>
          <w:p w14:paraId="2FE97E47" w14:textId="77777777" w:rsidR="00222A85" w:rsidRDefault="00222A85" w:rsidP="00222A85">
            <w:pPr>
              <w:jc w:val="both"/>
              <w:rPr>
                <w:rFonts w:ascii="Trebuchet MS" w:hAnsi="Trebuchet MS"/>
              </w:rPr>
            </w:pPr>
          </w:p>
          <w:p w14:paraId="4240A39C" w14:textId="6F36EACF" w:rsidR="00222A85" w:rsidRDefault="00222A85" w:rsidP="00222A85">
            <w:pPr>
              <w:jc w:val="both"/>
              <w:rPr>
                <w:rFonts w:ascii="Trebuchet MS" w:hAnsi="Trebuchet MS"/>
              </w:rPr>
            </w:pPr>
            <w:r>
              <w:rPr>
                <w:rFonts w:ascii="Trebuchet MS" w:hAnsi="Trebuchet MS"/>
              </w:rPr>
              <w:t xml:space="preserve">Year 3: </w:t>
            </w:r>
          </w:p>
          <w:p w14:paraId="33B72C59" w14:textId="693F8835" w:rsidR="00222A85" w:rsidRDefault="00222A85" w:rsidP="00222A85">
            <w:pPr>
              <w:jc w:val="both"/>
              <w:rPr>
                <w:rFonts w:ascii="Trebuchet MS" w:hAnsi="Trebuchet MS"/>
              </w:rPr>
            </w:pPr>
            <w:r>
              <w:rPr>
                <w:rFonts w:ascii="Trebuchet MS" w:hAnsi="Trebuchet MS"/>
              </w:rPr>
              <w:t xml:space="preserve">3 joint collaboratives across networks. </w:t>
            </w:r>
          </w:p>
          <w:p w14:paraId="7DD40A62" w14:textId="77777777" w:rsidR="00222A85" w:rsidRDefault="00222A85" w:rsidP="00222A85">
            <w:pPr>
              <w:jc w:val="both"/>
              <w:rPr>
                <w:rFonts w:ascii="Trebuchet MS" w:hAnsi="Trebuchet MS"/>
              </w:rPr>
            </w:pPr>
          </w:p>
          <w:p w14:paraId="5A2C7EF3" w14:textId="77777777" w:rsidR="00222A85" w:rsidRDefault="00222A85" w:rsidP="00222A85">
            <w:pPr>
              <w:jc w:val="both"/>
              <w:rPr>
                <w:rFonts w:ascii="Trebuchet MS" w:hAnsi="Trebuchet MS"/>
              </w:rPr>
            </w:pPr>
          </w:p>
          <w:p w14:paraId="1F0CFDE2" w14:textId="4A9F3E79" w:rsidR="00EF4DE1" w:rsidRPr="00EF4DE1" w:rsidRDefault="00EF4DE1" w:rsidP="00222A85">
            <w:pPr>
              <w:jc w:val="both"/>
              <w:rPr>
                <w:rFonts w:ascii="Trebuchet MS" w:hAnsi="Trebuchet MS"/>
              </w:rPr>
            </w:pPr>
            <w:r>
              <w:rPr>
                <w:rFonts w:ascii="Trebuchet MS" w:hAnsi="Trebuchet MS"/>
              </w:rPr>
              <w:t xml:space="preserve">Evaluation of the 14 networks included in the </w:t>
            </w:r>
            <w:r w:rsidR="00222A85">
              <w:rPr>
                <w:rFonts w:ascii="Trebuchet MS" w:hAnsi="Trebuchet MS"/>
              </w:rPr>
              <w:t>Year 5 Annual Impact Report.</w:t>
            </w:r>
          </w:p>
        </w:tc>
        <w:tc>
          <w:tcPr>
            <w:tcW w:w="2754" w:type="dxa"/>
          </w:tcPr>
          <w:p w14:paraId="50749C4B" w14:textId="77777777" w:rsidR="00954F65" w:rsidRDefault="00954F65" w:rsidP="00954F65">
            <w:pPr>
              <w:rPr>
                <w:rFonts w:ascii="Trebuchet MS" w:hAnsi="Trebuchet MS"/>
                <w:b/>
                <w:bCs/>
              </w:rPr>
            </w:pPr>
          </w:p>
        </w:tc>
      </w:tr>
      <w:tr w:rsidR="00142717" w14:paraId="4F7F7CE0" w14:textId="77777777" w:rsidTr="003A2C69">
        <w:tc>
          <w:tcPr>
            <w:tcW w:w="3866" w:type="dxa"/>
          </w:tcPr>
          <w:p w14:paraId="2C583BBD" w14:textId="0017C1EA" w:rsidR="00954F65" w:rsidRPr="006F0332" w:rsidRDefault="00954F65" w:rsidP="006F0332">
            <w:pPr>
              <w:jc w:val="both"/>
              <w:rPr>
                <w:rFonts w:ascii="Trebuchet MS" w:hAnsi="Trebuchet MS"/>
              </w:rPr>
            </w:pPr>
            <w:r w:rsidRPr="006F0332">
              <w:rPr>
                <w:rFonts w:ascii="Trebuchet MS" w:hAnsi="Trebuchet MS"/>
              </w:rPr>
              <w:lastRenderedPageBreak/>
              <w:t>5.</w:t>
            </w:r>
            <w:r w:rsidR="006F0332" w:rsidRPr="006F0332">
              <w:rPr>
                <w:rFonts w:ascii="Trebuchet MS" w:hAnsi="Trebuchet MS"/>
              </w:rPr>
              <w:t xml:space="preserve"> Use the sector intelligence to engage in strategic conversations to generate new approaches from local and national funders</w:t>
            </w:r>
            <w:r w:rsidR="006F0332">
              <w:rPr>
                <w:rFonts w:ascii="Trebuchet MS" w:hAnsi="Trebuchet MS"/>
              </w:rPr>
              <w:t>.</w:t>
            </w:r>
            <w:r w:rsidR="006F0332" w:rsidRPr="006F0332">
              <w:rPr>
                <w:rFonts w:ascii="Trebuchet MS" w:hAnsi="Trebuchet MS"/>
              </w:rPr>
              <w:t xml:space="preserve">  </w:t>
            </w:r>
          </w:p>
        </w:tc>
        <w:tc>
          <w:tcPr>
            <w:tcW w:w="1565" w:type="dxa"/>
          </w:tcPr>
          <w:p w14:paraId="4FF88193" w14:textId="1AB69A68" w:rsidR="00954F65" w:rsidRPr="00222A85" w:rsidRDefault="00222A85" w:rsidP="00222A85">
            <w:pPr>
              <w:jc w:val="center"/>
              <w:rPr>
                <w:rFonts w:ascii="Trebuchet MS" w:hAnsi="Trebuchet MS"/>
              </w:rPr>
            </w:pPr>
            <w:r>
              <w:rPr>
                <w:rFonts w:ascii="Trebuchet MS" w:hAnsi="Trebuchet MS"/>
              </w:rPr>
              <w:t>No baseline established.</w:t>
            </w:r>
          </w:p>
        </w:tc>
        <w:tc>
          <w:tcPr>
            <w:tcW w:w="4345" w:type="dxa"/>
          </w:tcPr>
          <w:p w14:paraId="0B8FBBEC" w14:textId="3F5EAA7F" w:rsidR="00954F65" w:rsidRPr="006F0332" w:rsidRDefault="006F0332" w:rsidP="006F0332">
            <w:pPr>
              <w:jc w:val="both"/>
              <w:rPr>
                <w:rFonts w:ascii="Trebuchet MS" w:hAnsi="Trebuchet MS"/>
              </w:rPr>
            </w:pPr>
            <w:r w:rsidRPr="006F0332">
              <w:rPr>
                <w:rFonts w:ascii="Trebuchet MS" w:hAnsi="Trebuchet MS"/>
              </w:rPr>
              <w:t xml:space="preserve">4 workshops per year on </w:t>
            </w:r>
            <w:proofErr w:type="gramStart"/>
            <w:r w:rsidRPr="006F0332">
              <w:rPr>
                <w:rFonts w:ascii="Trebuchet MS" w:hAnsi="Trebuchet MS"/>
              </w:rPr>
              <w:t>particular</w:t>
            </w:r>
            <w:r>
              <w:rPr>
                <w:rFonts w:ascii="Trebuchet MS" w:hAnsi="Trebuchet MS"/>
              </w:rPr>
              <w:t xml:space="preserve"> policy</w:t>
            </w:r>
            <w:proofErr w:type="gramEnd"/>
            <w:r>
              <w:rPr>
                <w:rFonts w:ascii="Trebuchet MS" w:hAnsi="Trebuchet MS"/>
              </w:rPr>
              <w:t xml:space="preserve"> </w:t>
            </w:r>
            <w:r w:rsidR="00222A85">
              <w:rPr>
                <w:rFonts w:ascii="Trebuchet MS" w:hAnsi="Trebuchet MS"/>
              </w:rPr>
              <w:t>themes or funding topics where local and national funders and/or stakeholders are invited to have a strategic conversation</w:t>
            </w:r>
            <w:r>
              <w:rPr>
                <w:rFonts w:ascii="Trebuchet MS" w:hAnsi="Trebuchet MS"/>
              </w:rPr>
              <w:t>.</w:t>
            </w:r>
            <w:r w:rsidRPr="006F0332">
              <w:rPr>
                <w:rFonts w:ascii="Trebuchet MS" w:hAnsi="Trebuchet MS"/>
              </w:rPr>
              <w:t xml:space="preserve"> </w:t>
            </w:r>
          </w:p>
        </w:tc>
        <w:tc>
          <w:tcPr>
            <w:tcW w:w="1418" w:type="dxa"/>
          </w:tcPr>
          <w:p w14:paraId="24290635" w14:textId="68AEC54F" w:rsidR="00954F65" w:rsidRPr="006F0332" w:rsidRDefault="006F0332" w:rsidP="00954F65">
            <w:pPr>
              <w:rPr>
                <w:rFonts w:ascii="Trebuchet MS" w:hAnsi="Trebuchet MS"/>
              </w:rPr>
            </w:pPr>
            <w:r>
              <w:rPr>
                <w:rFonts w:ascii="Trebuchet MS" w:hAnsi="Trebuchet MS"/>
              </w:rPr>
              <w:t>20 workshops</w:t>
            </w:r>
          </w:p>
        </w:tc>
        <w:tc>
          <w:tcPr>
            <w:tcW w:w="2754" w:type="dxa"/>
          </w:tcPr>
          <w:p w14:paraId="54DFDEF1" w14:textId="25BECFFB" w:rsidR="00954F65" w:rsidRPr="00222A85" w:rsidRDefault="00222A85" w:rsidP="00222A85">
            <w:pPr>
              <w:jc w:val="both"/>
              <w:rPr>
                <w:rFonts w:ascii="Trebuchet MS" w:hAnsi="Trebuchet MS"/>
              </w:rPr>
            </w:pPr>
            <w:r w:rsidRPr="00222A85">
              <w:rPr>
                <w:rFonts w:ascii="Trebuchet MS" w:hAnsi="Trebuchet MS"/>
              </w:rPr>
              <w:t xml:space="preserve">Year 1 </w:t>
            </w:r>
            <w:r>
              <w:rPr>
                <w:rFonts w:ascii="Trebuchet MS" w:hAnsi="Trebuchet MS"/>
              </w:rPr>
              <w:t>– we will analyse the investment in Lancashire from national funders and select those we want to have a strategic conversation with.  Policy areas will be selected to fit in with the manifesto priority areas.</w:t>
            </w:r>
          </w:p>
        </w:tc>
      </w:tr>
      <w:tr w:rsidR="00142717" w14:paraId="1A0FC3C2" w14:textId="77777777" w:rsidTr="003A2C69">
        <w:tc>
          <w:tcPr>
            <w:tcW w:w="3866" w:type="dxa"/>
          </w:tcPr>
          <w:p w14:paraId="68E6824D" w14:textId="11F4527D" w:rsidR="00954F65" w:rsidRPr="006F0332" w:rsidRDefault="00954F65" w:rsidP="006F0332">
            <w:pPr>
              <w:jc w:val="both"/>
              <w:rPr>
                <w:rFonts w:ascii="Trebuchet MS" w:hAnsi="Trebuchet MS"/>
              </w:rPr>
            </w:pPr>
            <w:r w:rsidRPr="006F0332">
              <w:rPr>
                <w:rFonts w:ascii="Trebuchet MS" w:hAnsi="Trebuchet MS"/>
              </w:rPr>
              <w:t xml:space="preserve">6. Use sector intelligence to stimulate and push for policy change at local and national level </w:t>
            </w:r>
          </w:p>
        </w:tc>
        <w:tc>
          <w:tcPr>
            <w:tcW w:w="1565" w:type="dxa"/>
          </w:tcPr>
          <w:p w14:paraId="6E21B782" w14:textId="2841D1BB" w:rsidR="00954F65" w:rsidRPr="006F0332" w:rsidRDefault="006F0332" w:rsidP="006F0332">
            <w:pPr>
              <w:jc w:val="both"/>
              <w:rPr>
                <w:rFonts w:ascii="Trebuchet MS" w:hAnsi="Trebuchet MS"/>
              </w:rPr>
            </w:pPr>
            <w:r w:rsidRPr="006F0332">
              <w:rPr>
                <w:rFonts w:ascii="Trebuchet MS" w:hAnsi="Trebuchet MS"/>
              </w:rPr>
              <w:t>There</w:t>
            </w:r>
            <w:r>
              <w:rPr>
                <w:rFonts w:ascii="Trebuchet MS" w:hAnsi="Trebuchet MS"/>
              </w:rPr>
              <w:t xml:space="preserve"> are currently no VCFSE Sector intelligence or reports for the Lancashire area.</w:t>
            </w:r>
          </w:p>
        </w:tc>
        <w:tc>
          <w:tcPr>
            <w:tcW w:w="4345" w:type="dxa"/>
          </w:tcPr>
          <w:p w14:paraId="59EBFAC9" w14:textId="77777777" w:rsidR="00954F65" w:rsidRPr="006F0332" w:rsidRDefault="006F0332" w:rsidP="006F0332">
            <w:pPr>
              <w:jc w:val="both"/>
              <w:rPr>
                <w:rFonts w:ascii="Trebuchet MS" w:hAnsi="Trebuchet MS"/>
              </w:rPr>
            </w:pPr>
            <w:r w:rsidRPr="006F0332">
              <w:rPr>
                <w:rFonts w:ascii="Trebuchet MS" w:hAnsi="Trebuchet MS"/>
              </w:rPr>
              <w:t>1 Annual Impact Report for the Lancashire VCFSE Sector produced each year.</w:t>
            </w:r>
          </w:p>
          <w:p w14:paraId="358C87E7" w14:textId="77777777" w:rsidR="006F0332" w:rsidRPr="006F0332" w:rsidRDefault="006F0332" w:rsidP="006F0332">
            <w:pPr>
              <w:jc w:val="both"/>
              <w:rPr>
                <w:rFonts w:ascii="Trebuchet MS" w:hAnsi="Trebuchet MS"/>
              </w:rPr>
            </w:pPr>
          </w:p>
          <w:p w14:paraId="1E89F9E1" w14:textId="3BD32714" w:rsidR="006F0332" w:rsidRPr="006F0332" w:rsidRDefault="006F0332" w:rsidP="006F0332">
            <w:pPr>
              <w:jc w:val="both"/>
              <w:rPr>
                <w:rFonts w:ascii="Trebuchet MS" w:hAnsi="Trebuchet MS"/>
              </w:rPr>
            </w:pPr>
            <w:r w:rsidRPr="006F0332">
              <w:rPr>
                <w:rFonts w:ascii="Trebuchet MS" w:hAnsi="Trebuchet MS"/>
              </w:rPr>
              <w:t xml:space="preserve">1 Topic related </w:t>
            </w:r>
            <w:r>
              <w:rPr>
                <w:rFonts w:ascii="Trebuchet MS" w:hAnsi="Trebuchet MS"/>
              </w:rPr>
              <w:t>report linked to the VCFSE Sector Manifesto.</w:t>
            </w:r>
          </w:p>
        </w:tc>
        <w:tc>
          <w:tcPr>
            <w:tcW w:w="1418" w:type="dxa"/>
          </w:tcPr>
          <w:p w14:paraId="2E43E5C3" w14:textId="25BC3165" w:rsidR="00954F65" w:rsidRPr="006F0332" w:rsidRDefault="006F0332" w:rsidP="006F0332">
            <w:pPr>
              <w:jc w:val="both"/>
              <w:rPr>
                <w:rFonts w:ascii="Trebuchet MS" w:hAnsi="Trebuchet MS"/>
              </w:rPr>
            </w:pPr>
            <w:r w:rsidRPr="006F0332">
              <w:rPr>
                <w:rFonts w:ascii="Trebuchet MS" w:hAnsi="Trebuchet MS"/>
              </w:rPr>
              <w:t>10 reports produced and shared</w:t>
            </w:r>
          </w:p>
        </w:tc>
        <w:tc>
          <w:tcPr>
            <w:tcW w:w="2754" w:type="dxa"/>
          </w:tcPr>
          <w:p w14:paraId="5D85C244" w14:textId="10D2C1C7" w:rsidR="00954F65" w:rsidRDefault="006F0332" w:rsidP="006F0332">
            <w:pPr>
              <w:jc w:val="both"/>
              <w:rPr>
                <w:rFonts w:ascii="Trebuchet MS" w:hAnsi="Trebuchet MS"/>
              </w:rPr>
            </w:pPr>
            <w:r w:rsidRPr="006F0332">
              <w:rPr>
                <w:rFonts w:ascii="Trebuchet MS" w:hAnsi="Trebuchet MS"/>
              </w:rPr>
              <w:t xml:space="preserve">Locally – </w:t>
            </w:r>
            <w:r w:rsidR="00222A85">
              <w:rPr>
                <w:rFonts w:ascii="Trebuchet MS" w:hAnsi="Trebuchet MS"/>
              </w:rPr>
              <w:t xml:space="preserve">the reports will be </w:t>
            </w:r>
            <w:r w:rsidRPr="006F0332">
              <w:rPr>
                <w:rFonts w:ascii="Trebuchet MS" w:hAnsi="Trebuchet MS"/>
              </w:rPr>
              <w:t xml:space="preserve">shared with local authorities, the Integrated Care Board, </w:t>
            </w:r>
            <w:proofErr w:type="gramStart"/>
            <w:r w:rsidRPr="006F0332">
              <w:rPr>
                <w:rFonts w:ascii="Trebuchet MS" w:hAnsi="Trebuchet MS"/>
              </w:rPr>
              <w:t>Health</w:t>
            </w:r>
            <w:proofErr w:type="gramEnd"/>
            <w:r w:rsidRPr="006F0332">
              <w:rPr>
                <w:rFonts w:ascii="Trebuchet MS" w:hAnsi="Trebuchet MS"/>
              </w:rPr>
              <w:t xml:space="preserve"> and Well-Being Boards, etc.</w:t>
            </w:r>
          </w:p>
          <w:p w14:paraId="4E9CA7BB" w14:textId="6ADB8E5E" w:rsidR="006F0332" w:rsidRDefault="006F0332" w:rsidP="00954F65">
            <w:pPr>
              <w:rPr>
                <w:rFonts w:ascii="Trebuchet MS" w:hAnsi="Trebuchet MS"/>
              </w:rPr>
            </w:pPr>
          </w:p>
          <w:p w14:paraId="03F19966" w14:textId="42DF2F9D" w:rsidR="006F0332" w:rsidRPr="006F0332" w:rsidRDefault="006F0332" w:rsidP="00222A85">
            <w:pPr>
              <w:jc w:val="both"/>
              <w:rPr>
                <w:rFonts w:ascii="Trebuchet MS" w:hAnsi="Trebuchet MS"/>
              </w:rPr>
            </w:pPr>
            <w:r>
              <w:rPr>
                <w:rFonts w:ascii="Trebuchet MS" w:hAnsi="Trebuchet MS"/>
              </w:rPr>
              <w:t>Regionally/Nationally –</w:t>
            </w:r>
            <w:r w:rsidR="00222A85">
              <w:rPr>
                <w:rFonts w:ascii="Trebuchet MS" w:hAnsi="Trebuchet MS"/>
              </w:rPr>
              <w:t xml:space="preserve"> the reports will be</w:t>
            </w:r>
            <w:r>
              <w:rPr>
                <w:rFonts w:ascii="Trebuchet MS" w:hAnsi="Trebuchet MS"/>
              </w:rPr>
              <w:t xml:space="preserve"> shared with NAVCA, NCVO, VSNW, etc.</w:t>
            </w:r>
            <w:r w:rsidR="00222A85">
              <w:rPr>
                <w:rFonts w:ascii="Trebuchet MS" w:hAnsi="Trebuchet MS"/>
              </w:rPr>
              <w:t xml:space="preserve"> and with MPs with a view/ask to shaping national policy changes.  We will monitor the responses.</w:t>
            </w:r>
          </w:p>
          <w:p w14:paraId="7DD22614" w14:textId="27EA2B24" w:rsidR="006F0332" w:rsidRDefault="006F0332" w:rsidP="00954F65">
            <w:pPr>
              <w:rPr>
                <w:rFonts w:ascii="Trebuchet MS" w:hAnsi="Trebuchet MS"/>
                <w:b/>
                <w:bCs/>
              </w:rPr>
            </w:pPr>
          </w:p>
        </w:tc>
      </w:tr>
    </w:tbl>
    <w:p w14:paraId="26433EA9" w14:textId="77777777" w:rsidR="00954F65" w:rsidRDefault="00954F65" w:rsidP="00954F65">
      <w:pPr>
        <w:rPr>
          <w:rFonts w:ascii="Trebuchet MS" w:hAnsi="Trebuchet MS"/>
          <w:b/>
          <w:bCs/>
        </w:rPr>
      </w:pPr>
    </w:p>
    <w:p w14:paraId="3436E69B" w14:textId="2296ACA7" w:rsidR="00954F65" w:rsidRDefault="00222A85">
      <w:r>
        <w:t>Prepared by Garth Hodgkinson</w:t>
      </w:r>
    </w:p>
    <w:p w14:paraId="096A5252" w14:textId="7BE3AF5E" w:rsidR="00222A85" w:rsidRDefault="00222A85">
      <w:r>
        <w:t>Date: 05</w:t>
      </w:r>
      <w:r w:rsidRPr="00222A85">
        <w:rPr>
          <w:vertAlign w:val="superscript"/>
        </w:rPr>
        <w:t>th</w:t>
      </w:r>
      <w:r>
        <w:t xml:space="preserve"> April 2023.</w:t>
      </w:r>
    </w:p>
    <w:sectPr w:rsidR="00222A85" w:rsidSect="00954F6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685E9" w14:textId="77777777" w:rsidR="003A2C69" w:rsidRDefault="003A2C69" w:rsidP="003A2C69">
      <w:r>
        <w:separator/>
      </w:r>
    </w:p>
  </w:endnote>
  <w:endnote w:type="continuationSeparator" w:id="0">
    <w:p w14:paraId="2C92D081" w14:textId="77777777" w:rsidR="003A2C69" w:rsidRDefault="003A2C69" w:rsidP="003A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12110" w14:textId="77777777" w:rsidR="003A2C69" w:rsidRDefault="003A2C69" w:rsidP="003A2C69">
      <w:r>
        <w:separator/>
      </w:r>
    </w:p>
  </w:footnote>
  <w:footnote w:type="continuationSeparator" w:id="0">
    <w:p w14:paraId="3573F22E" w14:textId="77777777" w:rsidR="003A2C69" w:rsidRDefault="003A2C69" w:rsidP="003A2C69">
      <w:r>
        <w:continuationSeparator/>
      </w:r>
    </w:p>
  </w:footnote>
  <w:footnote w:id="1">
    <w:p w14:paraId="71F47C8D" w14:textId="292C7AA4" w:rsidR="003A2C69" w:rsidRDefault="003A2C69" w:rsidP="003A2C69">
      <w:pPr>
        <w:pStyle w:val="FootnoteText"/>
        <w:jc w:val="both"/>
      </w:pPr>
      <w:r>
        <w:rPr>
          <w:rStyle w:val="FootnoteReference"/>
        </w:rPr>
        <w:footnoteRef/>
      </w:r>
      <w:r>
        <w:t xml:space="preserve"> Through the project – we will refine our collective reach.  Some of the reach is by local partners – who may be separately funded by the NLCF or other partners. Some will be done via LACVS for areas where Local Community Infrastructure is absent (e.g. Central Lancashire, Wyre or Fylde, etc.).  Through the project we aim to get more consistency across Lancashire and to improve our collective ability to engagement meaningfully and to pilot new approaches.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B2613"/>
    <w:multiLevelType w:val="hybridMultilevel"/>
    <w:tmpl w:val="B35A0B1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num w:numId="1" w16cid:durableId="92287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F65"/>
    <w:rsid w:val="00142717"/>
    <w:rsid w:val="00222A85"/>
    <w:rsid w:val="00335CF7"/>
    <w:rsid w:val="003A2C69"/>
    <w:rsid w:val="006F0332"/>
    <w:rsid w:val="00954F65"/>
    <w:rsid w:val="00A42547"/>
    <w:rsid w:val="00EF4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7B1D"/>
  <w15:chartTrackingRefBased/>
  <w15:docId w15:val="{47225D0B-496D-4F81-B9E8-55996C3C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F65"/>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954F65"/>
    <w:rPr>
      <w:rFonts w:ascii="Calibri" w:hAnsi="Calibri" w:cs="Calibri"/>
    </w:rPr>
  </w:style>
  <w:style w:type="paragraph" w:styleId="ListParagraph">
    <w:name w:val="List Paragraph"/>
    <w:basedOn w:val="Normal"/>
    <w:link w:val="ListParagraphChar"/>
    <w:uiPriority w:val="34"/>
    <w:qFormat/>
    <w:rsid w:val="00954F65"/>
    <w:pPr>
      <w:autoSpaceDN w:val="0"/>
      <w:ind w:left="720"/>
    </w:pPr>
    <w:rPr>
      <w:kern w:val="2"/>
      <w:lang w:eastAsia="en-US"/>
      <w14:ligatures w14:val="standardContextual"/>
    </w:rPr>
  </w:style>
  <w:style w:type="table" w:styleId="TableGrid">
    <w:name w:val="Table Grid"/>
    <w:basedOn w:val="TableNormal"/>
    <w:uiPriority w:val="39"/>
    <w:rsid w:val="00954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A2C69"/>
    <w:rPr>
      <w:sz w:val="20"/>
      <w:szCs w:val="20"/>
    </w:rPr>
  </w:style>
  <w:style w:type="character" w:customStyle="1" w:styleId="FootnoteTextChar">
    <w:name w:val="Footnote Text Char"/>
    <w:basedOn w:val="DefaultParagraphFont"/>
    <w:link w:val="FootnoteText"/>
    <w:uiPriority w:val="99"/>
    <w:semiHidden/>
    <w:rsid w:val="003A2C69"/>
    <w:rPr>
      <w:rFonts w:ascii="Calibri" w:hAnsi="Calibri" w:cs="Calibri"/>
      <w:kern w:val="0"/>
      <w:sz w:val="20"/>
      <w:szCs w:val="20"/>
      <w:lang w:eastAsia="en-GB"/>
      <w14:ligatures w14:val="none"/>
    </w:rPr>
  </w:style>
  <w:style w:type="character" w:styleId="FootnoteReference">
    <w:name w:val="footnote reference"/>
    <w:basedOn w:val="DefaultParagraphFont"/>
    <w:uiPriority w:val="99"/>
    <w:semiHidden/>
    <w:unhideWhenUsed/>
    <w:rsid w:val="003A2C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9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DA135-EADA-41EE-ABC4-F946BA6C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Community CVS</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Garth Hodgkinson</dc:creator>
  <cp:keywords/>
  <dc:description/>
  <cp:lastModifiedBy>Garth Hodgkinson</cp:lastModifiedBy>
  <cp:revision>2</cp:revision>
  <dcterms:created xsi:type="dcterms:W3CDTF">2023-05-25T15:55:00Z</dcterms:created>
  <dcterms:modified xsi:type="dcterms:W3CDTF">2023-05-25T15:55:00Z</dcterms:modified>
</cp:coreProperties>
</file>