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F4E00" w14:textId="4FE7E512" w:rsidR="00B53CBC" w:rsidRDefault="00733A8E" w:rsidP="00BC25F0">
      <w:pPr>
        <w:rPr>
          <w:rFonts w:ascii="Century Gothic" w:hAnsi="Century Gothic" w:cs="Arial"/>
          <w:b/>
          <w:sz w:val="32"/>
          <w:szCs w:val="32"/>
          <w:lang w:val="en-US" w:eastAsia="en-GB"/>
        </w:rPr>
      </w:pPr>
      <w:r>
        <w:rPr>
          <w:rFonts w:ascii="Century Gothic" w:hAnsi="Century Gothic"/>
        </w:rPr>
        <w:t xml:space="preserve">Sent to: </w:t>
      </w:r>
      <w:hyperlink r:id="rId10" w:history="1">
        <w:r w:rsidR="00C12EBC" w:rsidRPr="00C12EBC">
          <w:rPr>
            <w:rStyle w:val="Hyperlink"/>
            <w:rFonts w:ascii="Century Gothic" w:hAnsi="Century Gothic" w:cstheme="minorHAnsi"/>
          </w:rPr>
          <w:t>referrals@newground.co.uk</w:t>
        </w:r>
      </w:hyperlink>
      <w:r w:rsidR="00B53CBC" w:rsidRPr="00C12EBC">
        <w:rPr>
          <w:rFonts w:ascii="Century Gothic" w:hAnsi="Century Gothic" w:cs="Arial"/>
          <w:lang w:val="en-US" w:eastAsia="en-GB"/>
        </w:rPr>
        <w:br/>
      </w:r>
      <w:bookmarkStart w:id="0" w:name="_Hlk61785271"/>
      <w:r w:rsidR="00B53CBC" w:rsidRPr="00D05027">
        <w:rPr>
          <w:rFonts w:ascii="Century Gothic" w:hAnsi="Century Gothic" w:cs="Arial"/>
          <w:b/>
          <w:sz w:val="32"/>
          <w:szCs w:val="32"/>
          <w:lang w:val="en-US" w:eastAsia="en-GB"/>
        </w:rPr>
        <w:t xml:space="preserve">Energy </w:t>
      </w:r>
      <w:r w:rsidR="00387134" w:rsidRPr="00D05027">
        <w:rPr>
          <w:rFonts w:ascii="Century Gothic" w:hAnsi="Century Gothic" w:cs="Arial"/>
          <w:b/>
          <w:sz w:val="32"/>
          <w:szCs w:val="32"/>
          <w:lang w:val="en-US" w:eastAsia="en-GB"/>
        </w:rPr>
        <w:t xml:space="preserve">Redress Scheme: </w:t>
      </w:r>
    </w:p>
    <w:p w14:paraId="0050255A" w14:textId="77777777" w:rsidR="00D05027" w:rsidRPr="00D05027" w:rsidRDefault="00D05027" w:rsidP="00BC25F0">
      <w:pPr>
        <w:rPr>
          <w:rFonts w:ascii="Century Gothic" w:hAnsi="Century Gothic" w:cs="Arial"/>
          <w:lang w:val="en-US" w:eastAsia="en-GB"/>
        </w:rPr>
      </w:pPr>
      <w:r w:rsidRPr="5F9CDD9D">
        <w:rPr>
          <w:rFonts w:ascii="Century Gothic" w:hAnsi="Century Gothic" w:cs="Arial"/>
          <w:b/>
          <w:bCs/>
          <w:sz w:val="32"/>
          <w:szCs w:val="32"/>
          <w:lang w:val="en-US" w:eastAsia="en-GB"/>
        </w:rPr>
        <w:t>Newground Together: Committed to Strength Through Partnership</w:t>
      </w:r>
    </w:p>
    <w:bookmarkEnd w:id="0"/>
    <w:p w14:paraId="1DB5AEE3" w14:textId="77777777" w:rsidR="00B53CBC" w:rsidRPr="00D05027" w:rsidRDefault="00B53CBC" w:rsidP="00B53CBC">
      <w:pPr>
        <w:rPr>
          <w:rFonts w:ascii="Century Gothic" w:hAnsi="Century Gothic" w:cs="Arial"/>
        </w:rPr>
      </w:pPr>
    </w:p>
    <w:p w14:paraId="2CBF6414" w14:textId="6B90C363" w:rsidR="0056518D" w:rsidRDefault="0056518D" w:rsidP="0056518D">
      <w:pPr>
        <w:rPr>
          <w:rFonts w:ascii="Century Gothic" w:hAnsi="Century Gothic" w:cs="Arial"/>
          <w:b/>
          <w:sz w:val="28"/>
          <w:szCs w:val="28"/>
        </w:rPr>
      </w:pPr>
      <w:r>
        <w:rPr>
          <w:rFonts w:ascii="Century Gothic" w:hAnsi="Century Gothic" w:cs="Arial"/>
          <w:b/>
          <w:sz w:val="28"/>
          <w:szCs w:val="28"/>
        </w:rPr>
        <w:t>Purpose</w:t>
      </w:r>
    </w:p>
    <w:p w14:paraId="02788DAB" w14:textId="1CC60527" w:rsidR="0017690C" w:rsidRPr="00C571F3" w:rsidRDefault="0056518D" w:rsidP="00C571F3">
      <w:pPr>
        <w:pStyle w:val="ListParagraph"/>
        <w:numPr>
          <w:ilvl w:val="0"/>
          <w:numId w:val="10"/>
        </w:numPr>
        <w:rPr>
          <w:rFonts w:asciiTheme="minorHAnsi" w:eastAsia="Times New Roman" w:hAnsiTheme="minorHAnsi" w:cstheme="minorHAnsi"/>
          <w:color w:val="000000"/>
          <w:lang w:eastAsia="en-GB"/>
        </w:rPr>
      </w:pPr>
      <w:r w:rsidRPr="00C571F3">
        <w:rPr>
          <w:rFonts w:asciiTheme="minorHAnsi" w:eastAsia="Times New Roman" w:hAnsiTheme="minorHAnsi" w:cstheme="minorHAnsi"/>
          <w:color w:val="000000"/>
          <w:lang w:eastAsia="en-GB"/>
        </w:rPr>
        <w:t xml:space="preserve">To </w:t>
      </w:r>
      <w:r w:rsidR="0017690C" w:rsidRPr="00C571F3">
        <w:rPr>
          <w:rFonts w:asciiTheme="minorHAnsi" w:eastAsia="Times New Roman" w:hAnsiTheme="minorHAnsi" w:cstheme="minorHAnsi"/>
          <w:color w:val="000000"/>
          <w:lang w:eastAsia="en-GB"/>
        </w:rPr>
        <w:t xml:space="preserve">engage and support vulnerable </w:t>
      </w:r>
      <w:r w:rsidRPr="00C571F3">
        <w:rPr>
          <w:rFonts w:asciiTheme="minorHAnsi" w:eastAsia="Times New Roman" w:hAnsiTheme="minorHAnsi" w:cstheme="minorHAnsi"/>
          <w:color w:val="000000"/>
          <w:lang w:eastAsia="en-GB"/>
        </w:rPr>
        <w:t>people</w:t>
      </w:r>
      <w:r w:rsidR="0017690C" w:rsidRPr="00C571F3">
        <w:rPr>
          <w:rFonts w:asciiTheme="minorHAnsi" w:eastAsia="Times New Roman" w:hAnsiTheme="minorHAnsi" w:cstheme="minorHAnsi"/>
          <w:color w:val="000000"/>
          <w:lang w:eastAsia="en-GB"/>
        </w:rPr>
        <w:t xml:space="preserve"> struggling to pay their fuel bills due to loss of income, increased fuel use or other vulnerabilities resulting from the economic and social impacts of </w:t>
      </w:r>
      <w:r w:rsidR="00203574" w:rsidRPr="00C571F3">
        <w:rPr>
          <w:rFonts w:asciiTheme="minorHAnsi" w:eastAsia="Times New Roman" w:hAnsiTheme="minorHAnsi" w:cstheme="minorHAnsi"/>
          <w:color w:val="000000"/>
          <w:lang w:eastAsia="en-GB"/>
        </w:rPr>
        <w:t>C</w:t>
      </w:r>
      <w:r w:rsidR="0017690C" w:rsidRPr="00C571F3">
        <w:rPr>
          <w:rFonts w:asciiTheme="minorHAnsi" w:eastAsia="Times New Roman" w:hAnsiTheme="minorHAnsi" w:cstheme="minorHAnsi"/>
          <w:color w:val="000000"/>
          <w:lang w:eastAsia="en-GB"/>
        </w:rPr>
        <w:t>-19.</w:t>
      </w:r>
    </w:p>
    <w:p w14:paraId="07BD9FFA" w14:textId="3E321B6C" w:rsidR="002A43FE" w:rsidRPr="00C571F3" w:rsidRDefault="00B71EFC" w:rsidP="00C571F3">
      <w:pPr>
        <w:pStyle w:val="ListParagraph"/>
        <w:numPr>
          <w:ilvl w:val="0"/>
          <w:numId w:val="10"/>
        </w:numPr>
        <w:rPr>
          <w:rFonts w:asciiTheme="minorHAnsi" w:eastAsia="Times New Roman" w:hAnsiTheme="minorHAnsi" w:cstheme="minorHAnsi"/>
          <w:color w:val="000000"/>
          <w:lang w:eastAsia="en-GB"/>
        </w:rPr>
      </w:pPr>
      <w:r w:rsidRPr="00C571F3">
        <w:rPr>
          <w:rFonts w:asciiTheme="minorHAnsi" w:eastAsia="Times New Roman" w:hAnsiTheme="minorHAnsi" w:cstheme="minorHAnsi"/>
          <w:color w:val="000000"/>
          <w:lang w:eastAsia="en-GB"/>
        </w:rPr>
        <w:t xml:space="preserve">To </w:t>
      </w:r>
      <w:r w:rsidR="00C35485" w:rsidRPr="00C571F3">
        <w:rPr>
          <w:rFonts w:asciiTheme="minorHAnsi" w:eastAsia="Times New Roman" w:hAnsiTheme="minorHAnsi" w:cstheme="minorHAnsi"/>
          <w:color w:val="000000"/>
          <w:lang w:eastAsia="en-GB"/>
        </w:rPr>
        <w:t xml:space="preserve">work in partnership in order to </w:t>
      </w:r>
      <w:r w:rsidRPr="00C571F3">
        <w:rPr>
          <w:rFonts w:asciiTheme="minorHAnsi" w:eastAsia="Times New Roman" w:hAnsiTheme="minorHAnsi" w:cstheme="minorHAnsi"/>
          <w:color w:val="000000"/>
          <w:lang w:eastAsia="en-GB"/>
        </w:rPr>
        <w:t xml:space="preserve">reduce Fuel poverty. </w:t>
      </w:r>
    </w:p>
    <w:p w14:paraId="476531B0" w14:textId="77777777" w:rsidR="0056518D" w:rsidRPr="00D9389A" w:rsidRDefault="0056518D" w:rsidP="0017690C">
      <w:pPr>
        <w:rPr>
          <w:rFonts w:ascii="Century Gothic" w:hAnsi="Century Gothic" w:cs="Arial"/>
          <w:b/>
          <w:sz w:val="10"/>
          <w:szCs w:val="10"/>
        </w:rPr>
      </w:pPr>
    </w:p>
    <w:p w14:paraId="65DF9D9B" w14:textId="77777777" w:rsidR="0017690C" w:rsidRDefault="0017690C" w:rsidP="0017690C">
      <w:pPr>
        <w:rPr>
          <w:rFonts w:ascii="Century Gothic" w:hAnsi="Century Gothic" w:cs="Arial"/>
          <w:b/>
          <w:sz w:val="28"/>
          <w:szCs w:val="28"/>
        </w:rPr>
      </w:pPr>
      <w:r w:rsidRPr="00387134">
        <w:rPr>
          <w:rFonts w:ascii="Century Gothic" w:hAnsi="Century Gothic" w:cs="Arial"/>
          <w:b/>
          <w:sz w:val="28"/>
          <w:szCs w:val="28"/>
        </w:rPr>
        <w:t>Qualifying Criteria</w:t>
      </w:r>
    </w:p>
    <w:p w14:paraId="4D7C4426" w14:textId="2BFF5A7D" w:rsidR="00873DE7" w:rsidRDefault="00873DE7" w:rsidP="0017690C">
      <w:pPr>
        <w:pStyle w:val="ListParagraph"/>
        <w:numPr>
          <w:ilvl w:val="0"/>
          <w:numId w:val="7"/>
        </w:numPr>
        <w:rPr>
          <w:rFonts w:asciiTheme="minorHAnsi" w:eastAsia="Times New Roman" w:hAnsiTheme="minorHAnsi" w:cstheme="minorHAnsi"/>
          <w:lang w:eastAsia="en-GB"/>
        </w:rPr>
      </w:pPr>
      <w:r>
        <w:rPr>
          <w:rFonts w:asciiTheme="minorHAnsi" w:eastAsia="Times New Roman" w:hAnsiTheme="minorHAnsi" w:cstheme="minorHAnsi"/>
          <w:lang w:eastAsia="en-GB"/>
        </w:rPr>
        <w:t>Referral must be made by professional partner agency.</w:t>
      </w:r>
    </w:p>
    <w:p w14:paraId="4EAE1DE6" w14:textId="583D94A4" w:rsidR="0017690C" w:rsidRPr="00203574" w:rsidRDefault="0017690C" w:rsidP="0017690C">
      <w:pPr>
        <w:pStyle w:val="ListParagraph"/>
        <w:numPr>
          <w:ilvl w:val="0"/>
          <w:numId w:val="7"/>
        </w:numPr>
        <w:rPr>
          <w:rFonts w:asciiTheme="minorHAnsi" w:eastAsia="Times New Roman" w:hAnsiTheme="minorHAnsi" w:cstheme="minorHAnsi"/>
          <w:lang w:eastAsia="en-GB"/>
        </w:rPr>
      </w:pPr>
      <w:r w:rsidRPr="00203574">
        <w:rPr>
          <w:rFonts w:asciiTheme="minorHAnsi" w:eastAsia="Times New Roman" w:hAnsiTheme="minorHAnsi" w:cstheme="minorHAnsi"/>
          <w:lang w:eastAsia="en-GB"/>
        </w:rPr>
        <w:t xml:space="preserve">Referral </w:t>
      </w:r>
      <w:r w:rsidR="009B11F9">
        <w:rPr>
          <w:rFonts w:asciiTheme="minorHAnsi" w:eastAsia="Times New Roman" w:hAnsiTheme="minorHAnsi" w:cstheme="minorHAnsi"/>
          <w:lang w:eastAsia="en-GB"/>
        </w:rPr>
        <w:t xml:space="preserve">agency </w:t>
      </w:r>
      <w:r w:rsidRPr="00203574">
        <w:rPr>
          <w:rFonts w:asciiTheme="minorHAnsi" w:eastAsia="Times New Roman" w:hAnsiTheme="minorHAnsi" w:cstheme="minorHAnsi"/>
          <w:lang w:eastAsia="en-GB"/>
        </w:rPr>
        <w:t xml:space="preserve">can </w:t>
      </w:r>
      <w:r w:rsidRPr="007E2EA3">
        <w:rPr>
          <w:rFonts w:asciiTheme="minorHAnsi" w:eastAsia="Times New Roman" w:hAnsiTheme="minorHAnsi" w:cstheme="minorHAnsi"/>
          <w:b/>
          <w:lang w:eastAsia="en-GB"/>
        </w:rPr>
        <w:t>evidence</w:t>
      </w:r>
      <w:r w:rsidR="009B11F9">
        <w:rPr>
          <w:rFonts w:asciiTheme="minorHAnsi" w:eastAsia="Times New Roman" w:hAnsiTheme="minorHAnsi" w:cstheme="minorHAnsi"/>
          <w:b/>
          <w:lang w:eastAsia="en-GB"/>
        </w:rPr>
        <w:t xml:space="preserve"> &amp; confirm</w:t>
      </w:r>
      <w:r w:rsidR="00203574" w:rsidRPr="007E2EA3">
        <w:rPr>
          <w:rFonts w:asciiTheme="minorHAnsi" w:eastAsia="Times New Roman" w:hAnsiTheme="minorHAnsi" w:cstheme="minorHAnsi"/>
          <w:b/>
          <w:lang w:eastAsia="en-GB"/>
        </w:rPr>
        <w:t xml:space="preserve"> people living </w:t>
      </w:r>
      <w:r w:rsidRPr="007E2EA3">
        <w:rPr>
          <w:rFonts w:asciiTheme="minorHAnsi" w:eastAsia="Times New Roman" w:hAnsiTheme="minorHAnsi" w:cstheme="minorHAnsi"/>
          <w:b/>
          <w:lang w:eastAsia="en-GB"/>
        </w:rPr>
        <w:t>at th</w:t>
      </w:r>
      <w:r w:rsidR="00203574" w:rsidRPr="007E2EA3">
        <w:rPr>
          <w:rFonts w:asciiTheme="minorHAnsi" w:eastAsia="Times New Roman" w:hAnsiTheme="minorHAnsi" w:cstheme="minorHAnsi"/>
          <w:b/>
          <w:lang w:eastAsia="en-GB"/>
        </w:rPr>
        <w:t>e</w:t>
      </w:r>
      <w:r w:rsidRPr="007E2EA3">
        <w:rPr>
          <w:rFonts w:asciiTheme="minorHAnsi" w:eastAsia="Times New Roman" w:hAnsiTheme="minorHAnsi" w:cstheme="minorHAnsi"/>
          <w:b/>
          <w:lang w:eastAsia="en-GB"/>
        </w:rPr>
        <w:t xml:space="preserve"> address</w:t>
      </w:r>
      <w:r w:rsidR="009B11F9">
        <w:rPr>
          <w:rFonts w:asciiTheme="minorHAnsi" w:eastAsia="Times New Roman" w:hAnsiTheme="minorHAnsi" w:cstheme="minorHAnsi"/>
          <w:b/>
          <w:lang w:eastAsia="en-GB"/>
        </w:rPr>
        <w:t xml:space="preserve"> (referral form)</w:t>
      </w:r>
    </w:p>
    <w:p w14:paraId="08BDE231" w14:textId="7D6D7F33" w:rsidR="0017690C" w:rsidRPr="00203574" w:rsidRDefault="0017690C" w:rsidP="0017690C">
      <w:pPr>
        <w:pStyle w:val="ListParagraph"/>
        <w:numPr>
          <w:ilvl w:val="0"/>
          <w:numId w:val="7"/>
        </w:numPr>
        <w:rPr>
          <w:rFonts w:asciiTheme="minorHAnsi" w:eastAsia="Times New Roman" w:hAnsiTheme="minorHAnsi" w:cstheme="minorHAnsi"/>
          <w:lang w:eastAsia="en-GB"/>
        </w:rPr>
      </w:pPr>
      <w:r w:rsidRPr="00B71EFC">
        <w:rPr>
          <w:rFonts w:asciiTheme="minorHAnsi" w:eastAsia="Times New Roman" w:hAnsiTheme="minorHAnsi" w:cstheme="minorHAnsi"/>
          <w:b/>
          <w:lang w:eastAsia="en-GB"/>
        </w:rPr>
        <w:t>Pre-Payment Meter:</w:t>
      </w:r>
      <w:r w:rsidRPr="00203574">
        <w:rPr>
          <w:rFonts w:asciiTheme="minorHAnsi" w:eastAsia="Times New Roman" w:hAnsiTheme="minorHAnsi" w:cstheme="minorHAnsi"/>
          <w:lang w:eastAsia="en-GB"/>
        </w:rPr>
        <w:t xml:space="preserve"> </w:t>
      </w:r>
      <w:r w:rsidRPr="00203574">
        <w:rPr>
          <w:rFonts w:asciiTheme="minorHAnsi" w:eastAsia="Times New Roman" w:hAnsiTheme="minorHAnsi" w:cstheme="minorHAnsi"/>
          <w:i/>
          <w:lang w:eastAsia="en-GB"/>
        </w:rPr>
        <w:t xml:space="preserve">has to be a pre pay meter </w:t>
      </w:r>
      <w:r w:rsidR="009E066C">
        <w:rPr>
          <w:rFonts w:asciiTheme="minorHAnsi" w:eastAsia="Times New Roman" w:hAnsiTheme="minorHAnsi" w:cstheme="minorHAnsi"/>
          <w:i/>
          <w:lang w:eastAsia="en-GB"/>
        </w:rPr>
        <w:t xml:space="preserve">that is topped up with a key or card </w:t>
      </w:r>
      <w:r w:rsidRPr="00203574">
        <w:rPr>
          <w:rFonts w:asciiTheme="minorHAnsi" w:eastAsia="Times New Roman" w:hAnsiTheme="minorHAnsi" w:cstheme="minorHAnsi"/>
          <w:i/>
          <w:lang w:eastAsia="en-GB"/>
        </w:rPr>
        <w:t>to qualify</w:t>
      </w:r>
      <w:r w:rsidR="009B11F9">
        <w:rPr>
          <w:rFonts w:asciiTheme="minorHAnsi" w:eastAsia="Times New Roman" w:hAnsiTheme="minorHAnsi" w:cstheme="minorHAnsi"/>
          <w:i/>
          <w:lang w:eastAsia="en-GB"/>
        </w:rPr>
        <w:t xml:space="preserve"> for voucher</w:t>
      </w:r>
    </w:p>
    <w:p w14:paraId="779B18E9" w14:textId="0BB081C1" w:rsidR="0017690C" w:rsidRPr="00203574" w:rsidRDefault="009B11F9" w:rsidP="0017690C">
      <w:pPr>
        <w:pStyle w:val="ListParagraph"/>
        <w:numPr>
          <w:ilvl w:val="0"/>
          <w:numId w:val="7"/>
        </w:numPr>
        <w:rPr>
          <w:rFonts w:asciiTheme="minorHAnsi" w:eastAsia="Times New Roman" w:hAnsiTheme="minorHAnsi" w:cstheme="minorHAnsi"/>
          <w:lang w:eastAsia="en-GB"/>
        </w:rPr>
      </w:pPr>
      <w:r>
        <w:rPr>
          <w:rFonts w:asciiTheme="minorHAnsi" w:eastAsia="Times New Roman" w:hAnsiTheme="minorHAnsi" w:cstheme="minorHAnsi"/>
          <w:lang w:eastAsia="en-GB"/>
        </w:rPr>
        <w:t>Current</w:t>
      </w:r>
      <w:r w:rsidR="0017690C" w:rsidRPr="00203574">
        <w:rPr>
          <w:rFonts w:asciiTheme="minorHAnsi" w:eastAsia="Times New Roman" w:hAnsiTheme="minorHAnsi" w:cstheme="minorHAnsi"/>
          <w:lang w:eastAsia="en-GB"/>
        </w:rPr>
        <w:t xml:space="preserve"> photo of pre-payment meter </w:t>
      </w:r>
      <w:r>
        <w:rPr>
          <w:rFonts w:asciiTheme="minorHAnsi" w:eastAsia="Times New Roman" w:hAnsiTheme="minorHAnsi" w:cstheme="minorHAnsi"/>
          <w:lang w:eastAsia="en-GB"/>
        </w:rPr>
        <w:t xml:space="preserve">included </w:t>
      </w:r>
      <w:r w:rsidR="0017690C" w:rsidRPr="00203574">
        <w:rPr>
          <w:rFonts w:asciiTheme="minorHAnsi" w:eastAsia="Times New Roman" w:hAnsiTheme="minorHAnsi" w:cstheme="minorHAnsi"/>
          <w:lang w:eastAsia="en-GB"/>
        </w:rPr>
        <w:t>on the referral</w:t>
      </w:r>
      <w:r>
        <w:rPr>
          <w:rFonts w:asciiTheme="minorHAnsi" w:eastAsia="Times New Roman" w:hAnsiTheme="minorHAnsi" w:cstheme="minorHAnsi"/>
          <w:lang w:eastAsia="en-GB"/>
        </w:rPr>
        <w:t xml:space="preserve"> form</w:t>
      </w:r>
    </w:p>
    <w:p w14:paraId="515B778B" w14:textId="67E31AC9" w:rsidR="00203574" w:rsidRPr="00203574" w:rsidRDefault="0017690C" w:rsidP="00203574">
      <w:pPr>
        <w:pStyle w:val="ListParagraph"/>
        <w:numPr>
          <w:ilvl w:val="0"/>
          <w:numId w:val="7"/>
        </w:numPr>
        <w:spacing w:after="160" w:line="259" w:lineRule="auto"/>
        <w:rPr>
          <w:rFonts w:asciiTheme="minorHAnsi" w:hAnsiTheme="minorHAnsi" w:cstheme="minorHAnsi"/>
        </w:rPr>
      </w:pPr>
      <w:r w:rsidRPr="00203574">
        <w:rPr>
          <w:rFonts w:asciiTheme="minorHAnsi" w:eastAsia="Times New Roman" w:hAnsiTheme="minorHAnsi" w:cstheme="minorHAnsi"/>
          <w:lang w:eastAsia="en-GB"/>
        </w:rPr>
        <w:t xml:space="preserve">Household is at risk </w:t>
      </w:r>
      <w:r w:rsidRPr="00203574">
        <w:rPr>
          <w:rFonts w:asciiTheme="minorHAnsi" w:hAnsiTheme="minorHAnsi" w:cstheme="minorHAnsi"/>
        </w:rPr>
        <w:t xml:space="preserve">of self-disconnection, running out of fuel, out of fuel, in fuel debt or supply capped </w:t>
      </w:r>
    </w:p>
    <w:p w14:paraId="68C0FCBC" w14:textId="26A9CC2E" w:rsidR="0017690C" w:rsidRPr="00203574" w:rsidRDefault="0017690C" w:rsidP="0017690C">
      <w:pPr>
        <w:pStyle w:val="ListParagraph"/>
        <w:numPr>
          <w:ilvl w:val="0"/>
          <w:numId w:val="7"/>
        </w:numPr>
        <w:spacing w:after="160" w:line="259" w:lineRule="auto"/>
        <w:rPr>
          <w:rFonts w:asciiTheme="minorHAnsi" w:hAnsiTheme="minorHAnsi" w:cstheme="minorHAnsi"/>
        </w:rPr>
      </w:pPr>
      <w:r w:rsidRPr="00203574">
        <w:rPr>
          <w:rFonts w:asciiTheme="minorHAnsi" w:hAnsiTheme="minorHAnsi" w:cstheme="minorHAnsi"/>
        </w:rPr>
        <w:t>Household is suffering</w:t>
      </w:r>
      <w:r w:rsidR="00203574">
        <w:rPr>
          <w:rFonts w:asciiTheme="minorHAnsi" w:hAnsiTheme="minorHAnsi" w:cstheme="minorHAnsi"/>
        </w:rPr>
        <w:t xml:space="preserve"> from</w:t>
      </w:r>
      <w:r w:rsidRPr="00203574">
        <w:rPr>
          <w:rFonts w:asciiTheme="minorHAnsi" w:hAnsiTheme="minorHAnsi" w:cstheme="minorHAnsi"/>
        </w:rPr>
        <w:t xml:space="preserve"> the impact of COVID 19</w:t>
      </w:r>
      <w:r w:rsidR="00203574">
        <w:rPr>
          <w:rFonts w:asciiTheme="minorHAnsi" w:hAnsiTheme="minorHAnsi" w:cstheme="minorHAnsi"/>
        </w:rPr>
        <w:t xml:space="preserve"> &amp; restrictions </w:t>
      </w:r>
    </w:p>
    <w:p w14:paraId="4EAC9C67" w14:textId="77777777" w:rsidR="0017690C" w:rsidRPr="00203574" w:rsidRDefault="0017690C" w:rsidP="0017690C">
      <w:pPr>
        <w:pStyle w:val="ListParagraph"/>
        <w:numPr>
          <w:ilvl w:val="0"/>
          <w:numId w:val="7"/>
        </w:numPr>
        <w:spacing w:after="160" w:line="259" w:lineRule="auto"/>
        <w:rPr>
          <w:rFonts w:asciiTheme="minorHAnsi" w:eastAsia="Times New Roman" w:hAnsiTheme="minorHAnsi" w:cstheme="minorHAnsi"/>
          <w:i/>
          <w:lang w:eastAsia="en-GB"/>
        </w:rPr>
      </w:pPr>
      <w:r w:rsidRPr="00203574">
        <w:rPr>
          <w:rFonts w:asciiTheme="minorHAnsi" w:hAnsiTheme="minorHAnsi" w:cstheme="minorHAnsi"/>
        </w:rPr>
        <w:t xml:space="preserve">The household has not </w:t>
      </w:r>
      <w:r w:rsidRPr="00203574">
        <w:rPr>
          <w:rFonts w:asciiTheme="minorHAnsi" w:eastAsia="Times New Roman" w:hAnsiTheme="minorHAnsi" w:cstheme="minorHAnsi"/>
          <w:lang w:eastAsia="en-GB"/>
        </w:rPr>
        <w:t xml:space="preserve">received any fuel vouchers recently from any other organisations administering the Energy Redress Scheme? </w:t>
      </w:r>
      <w:r w:rsidRPr="00203574">
        <w:rPr>
          <w:rFonts w:asciiTheme="minorHAnsi" w:eastAsia="Times New Roman" w:hAnsiTheme="minorHAnsi" w:cstheme="minorHAnsi"/>
          <w:i/>
          <w:lang w:eastAsia="en-GB"/>
        </w:rPr>
        <w:t>Applicants can have a maximum of 3 vouchers from the redress fund.  If they have already had 3 vouchers, they do not qualify.</w:t>
      </w:r>
    </w:p>
    <w:p w14:paraId="4EF8E8AB" w14:textId="77777777" w:rsidR="0017690C" w:rsidRPr="007E2EA3" w:rsidRDefault="0017690C" w:rsidP="0017690C">
      <w:pPr>
        <w:rPr>
          <w:rFonts w:ascii="Century Gothic" w:hAnsi="Century Gothic"/>
          <w:b/>
          <w:sz w:val="10"/>
          <w:szCs w:val="10"/>
        </w:rPr>
      </w:pPr>
    </w:p>
    <w:p w14:paraId="3E02CC60" w14:textId="77777777" w:rsidR="0017690C" w:rsidRPr="00AC492E" w:rsidRDefault="0017690C" w:rsidP="0017690C">
      <w:pPr>
        <w:rPr>
          <w:rFonts w:ascii="Century Gothic" w:hAnsi="Century Gothic"/>
          <w:b/>
          <w:sz w:val="28"/>
          <w:szCs w:val="28"/>
        </w:rPr>
      </w:pPr>
      <w:r w:rsidRPr="00AC492E">
        <w:rPr>
          <w:rFonts w:ascii="Century Gothic" w:hAnsi="Century Gothic"/>
          <w:b/>
          <w:sz w:val="28"/>
          <w:szCs w:val="28"/>
        </w:rPr>
        <w:t>How Do I refer?</w:t>
      </w:r>
    </w:p>
    <w:p w14:paraId="0C675A11" w14:textId="6E7FF2C1" w:rsidR="0017690C" w:rsidRPr="00B71EFC" w:rsidRDefault="0017690C" w:rsidP="0017690C">
      <w:pPr>
        <w:rPr>
          <w:rFonts w:asciiTheme="minorHAnsi" w:hAnsiTheme="minorHAnsi" w:cstheme="minorHAnsi"/>
        </w:rPr>
      </w:pPr>
      <w:r w:rsidRPr="00B71EFC">
        <w:rPr>
          <w:rFonts w:asciiTheme="minorHAnsi" w:hAnsiTheme="minorHAnsi" w:cstheme="minorHAnsi"/>
        </w:rPr>
        <w:t xml:space="preserve">Fill in the referral form and send to </w:t>
      </w:r>
      <w:hyperlink r:id="rId11" w:history="1">
        <w:r w:rsidR="00203574" w:rsidRPr="00B71EFC">
          <w:rPr>
            <w:rStyle w:val="Hyperlink"/>
            <w:rFonts w:asciiTheme="minorHAnsi" w:hAnsiTheme="minorHAnsi" w:cstheme="minorHAnsi"/>
          </w:rPr>
          <w:t>referrals@newground.co.uk</w:t>
        </w:r>
      </w:hyperlink>
    </w:p>
    <w:p w14:paraId="73F6F3D2" w14:textId="77777777" w:rsidR="0017690C" w:rsidRPr="00D9389A" w:rsidRDefault="0017690C" w:rsidP="0017690C">
      <w:pPr>
        <w:rPr>
          <w:rFonts w:ascii="Century Gothic" w:hAnsi="Century Gothic"/>
          <w:b/>
          <w:sz w:val="10"/>
          <w:szCs w:val="10"/>
        </w:rPr>
      </w:pPr>
    </w:p>
    <w:p w14:paraId="6B588798" w14:textId="5CDB37A9" w:rsidR="6C2D27FD" w:rsidRDefault="6C2D27FD">
      <w:r w:rsidRPr="7B04282D">
        <w:rPr>
          <w:rFonts w:ascii="Century Gothic" w:eastAsia="Century Gothic" w:hAnsi="Century Gothic" w:cs="Century Gothic"/>
          <w:b/>
          <w:bCs/>
          <w:sz w:val="28"/>
          <w:szCs w:val="28"/>
        </w:rPr>
        <w:t>What happens Next?</w:t>
      </w:r>
    </w:p>
    <w:p w14:paraId="27076144" w14:textId="3443E194" w:rsidR="6C2D27FD" w:rsidRDefault="6C2D27FD" w:rsidP="7B04282D">
      <w:r>
        <w:rPr>
          <w:noProof/>
        </w:rPr>
        <w:drawing>
          <wp:inline distT="0" distB="0" distL="0" distR="0" wp14:anchorId="109BDBE3" wp14:editId="0D8A3056">
            <wp:extent cx="6802244" cy="1757246"/>
            <wp:effectExtent l="0" t="0" r="0" b="0"/>
            <wp:docPr id="1210751211" name="Picture 121075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751211"/>
                    <pic:cNvPicPr/>
                  </pic:nvPicPr>
                  <pic:blipFill>
                    <a:blip r:embed="rId12">
                      <a:extLst>
                        <a:ext uri="{28A0092B-C50C-407E-A947-70E740481C1C}">
                          <a14:useLocalDpi xmlns:a14="http://schemas.microsoft.com/office/drawing/2010/main" val="0"/>
                        </a:ext>
                      </a:extLst>
                    </a:blip>
                    <a:stretch>
                      <a:fillRect/>
                    </a:stretch>
                  </pic:blipFill>
                  <pic:spPr>
                    <a:xfrm>
                      <a:off x="0" y="0"/>
                      <a:ext cx="6802244" cy="1757246"/>
                    </a:xfrm>
                    <a:prstGeom prst="rect">
                      <a:avLst/>
                    </a:prstGeom>
                  </pic:spPr>
                </pic:pic>
              </a:graphicData>
            </a:graphic>
          </wp:inline>
        </w:drawing>
      </w:r>
    </w:p>
    <w:p w14:paraId="1E39DE88" w14:textId="0FA276AF" w:rsidR="6C2D27FD" w:rsidRDefault="6C2D27FD" w:rsidP="7B04282D">
      <w:pPr>
        <w:rPr>
          <w:rFonts w:ascii="Century Gothic" w:eastAsia="Century Gothic" w:hAnsi="Century Gothic" w:cs="Century Gothic"/>
          <w:b/>
          <w:bCs/>
          <w:sz w:val="28"/>
          <w:szCs w:val="28"/>
        </w:rPr>
      </w:pPr>
      <w:r w:rsidRPr="7B04282D">
        <w:rPr>
          <w:rFonts w:ascii="Century Gothic" w:eastAsia="Century Gothic" w:hAnsi="Century Gothic" w:cs="Century Gothic"/>
          <w:b/>
          <w:bCs/>
          <w:sz w:val="28"/>
          <w:szCs w:val="28"/>
        </w:rPr>
        <w:t>Vouchers available</w:t>
      </w:r>
      <w:r w:rsidR="078E0520" w:rsidRPr="7B04282D">
        <w:rPr>
          <w:rFonts w:ascii="Century Gothic" w:eastAsia="Century Gothic" w:hAnsi="Century Gothic" w:cs="Century Gothic"/>
          <w:b/>
          <w:bCs/>
          <w:sz w:val="28"/>
          <w:szCs w:val="28"/>
        </w:rPr>
        <w:t xml:space="preserve">, distributed </w:t>
      </w:r>
      <w:r w:rsidR="00681518">
        <w:rPr>
          <w:rFonts w:ascii="Century Gothic" w:eastAsia="Century Gothic" w:hAnsi="Century Gothic" w:cs="Century Gothic"/>
          <w:b/>
          <w:bCs/>
          <w:sz w:val="28"/>
          <w:szCs w:val="28"/>
        </w:rPr>
        <w:t xml:space="preserve">based on referral form and needs assessment </w:t>
      </w:r>
      <w:r w:rsidR="078E0520" w:rsidRPr="7B04282D">
        <w:rPr>
          <w:rFonts w:ascii="Century Gothic" w:eastAsia="Century Gothic" w:hAnsi="Century Gothic" w:cs="Century Gothic"/>
          <w:b/>
          <w:bCs/>
          <w:sz w:val="28"/>
          <w:szCs w:val="28"/>
        </w:rPr>
        <w:t>by NGT staff member</w:t>
      </w:r>
      <w:r w:rsidR="009F1BA1">
        <w:rPr>
          <w:rFonts w:ascii="Century Gothic" w:eastAsia="Century Gothic" w:hAnsi="Century Gothic" w:cs="Century Gothic"/>
          <w:b/>
          <w:bCs/>
          <w:sz w:val="28"/>
          <w:szCs w:val="28"/>
        </w:rPr>
        <w:t>, each case consider individually</w:t>
      </w:r>
      <w:r w:rsidRPr="7B04282D">
        <w:rPr>
          <w:rFonts w:ascii="Century Gothic" w:eastAsia="Century Gothic" w:hAnsi="Century Gothic" w:cs="Century Gothic"/>
          <w:b/>
          <w:bCs/>
          <w:sz w:val="28"/>
          <w:szCs w:val="28"/>
        </w:rPr>
        <w:t>:</w:t>
      </w:r>
    </w:p>
    <w:tbl>
      <w:tblPr>
        <w:tblStyle w:val="TableGrid"/>
        <w:tblW w:w="0" w:type="auto"/>
        <w:tblLayout w:type="fixed"/>
        <w:tblLook w:val="04A0" w:firstRow="1" w:lastRow="0" w:firstColumn="1" w:lastColumn="0" w:noHBand="0" w:noVBand="1"/>
      </w:tblPr>
      <w:tblGrid>
        <w:gridCol w:w="5228"/>
        <w:gridCol w:w="5228"/>
      </w:tblGrid>
      <w:tr w:rsidR="7B04282D" w14:paraId="1CFB8790" w14:textId="77777777" w:rsidTr="7B04282D">
        <w:trPr>
          <w:trHeight w:val="390"/>
        </w:trPr>
        <w:tc>
          <w:tcPr>
            <w:tcW w:w="5228" w:type="dxa"/>
            <w:shd w:val="clear" w:color="auto" w:fill="FFFFCC"/>
            <w:vAlign w:val="center"/>
          </w:tcPr>
          <w:p w14:paraId="60E68B3C" w14:textId="1CFCDA7D" w:rsidR="7B04282D" w:rsidRDefault="7B04282D">
            <w:r w:rsidRPr="7B04282D">
              <w:rPr>
                <w:rFonts w:ascii="Century Gothic" w:eastAsia="Century Gothic" w:hAnsi="Century Gothic" w:cs="Century Gothic"/>
                <w:b/>
                <w:bCs/>
                <w:sz w:val="24"/>
                <w:szCs w:val="24"/>
              </w:rPr>
              <w:t>Gas</w:t>
            </w:r>
          </w:p>
        </w:tc>
        <w:tc>
          <w:tcPr>
            <w:tcW w:w="5228" w:type="dxa"/>
            <w:shd w:val="clear" w:color="auto" w:fill="FFFFCC"/>
            <w:vAlign w:val="center"/>
          </w:tcPr>
          <w:p w14:paraId="65FB2831" w14:textId="4AAF9BA9" w:rsidR="7B04282D" w:rsidRDefault="7B04282D">
            <w:r w:rsidRPr="7B04282D">
              <w:rPr>
                <w:rFonts w:ascii="Century Gothic" w:eastAsia="Century Gothic" w:hAnsi="Century Gothic" w:cs="Century Gothic"/>
                <w:b/>
                <w:bCs/>
                <w:sz w:val="24"/>
                <w:szCs w:val="24"/>
              </w:rPr>
              <w:t>Electric</w:t>
            </w:r>
          </w:p>
        </w:tc>
      </w:tr>
      <w:tr w:rsidR="7B04282D" w14:paraId="68634841" w14:textId="77777777" w:rsidTr="7B04282D">
        <w:trPr>
          <w:trHeight w:val="390"/>
        </w:trPr>
        <w:tc>
          <w:tcPr>
            <w:tcW w:w="5228" w:type="dxa"/>
            <w:vAlign w:val="center"/>
          </w:tcPr>
          <w:p w14:paraId="6E92A309" w14:textId="504B0F6A" w:rsidR="7B04282D" w:rsidRDefault="7B04282D">
            <w:r w:rsidRPr="7B04282D">
              <w:rPr>
                <w:rFonts w:ascii="MS Gothic" w:eastAsia="MS Gothic" w:hAnsi="MS Gothic" w:cs="MS Gothic"/>
                <w:b/>
                <w:bCs/>
                <w:sz w:val="24"/>
                <w:szCs w:val="24"/>
                <w:lang w:val="en-US"/>
              </w:rPr>
              <w:t>☐</w:t>
            </w:r>
            <w:r w:rsidRPr="7B04282D">
              <w:rPr>
                <w:rFonts w:ascii="Century Gothic" w:eastAsia="Century Gothic" w:hAnsi="Century Gothic" w:cs="Century Gothic"/>
                <w:b/>
                <w:bCs/>
                <w:sz w:val="24"/>
                <w:szCs w:val="24"/>
              </w:rPr>
              <w:t xml:space="preserve"> Couple (£35)</w:t>
            </w:r>
          </w:p>
        </w:tc>
        <w:tc>
          <w:tcPr>
            <w:tcW w:w="5228" w:type="dxa"/>
            <w:vAlign w:val="center"/>
          </w:tcPr>
          <w:p w14:paraId="05A07C97" w14:textId="45F8D459" w:rsidR="7B04282D" w:rsidRDefault="7B04282D">
            <w:r w:rsidRPr="7B04282D">
              <w:rPr>
                <w:rFonts w:ascii="MS Gothic" w:eastAsia="MS Gothic" w:hAnsi="MS Gothic" w:cs="MS Gothic"/>
                <w:b/>
                <w:bCs/>
                <w:sz w:val="24"/>
                <w:szCs w:val="24"/>
                <w:lang w:val="en-US"/>
              </w:rPr>
              <w:t>☐</w:t>
            </w:r>
            <w:r w:rsidRPr="7B04282D">
              <w:rPr>
                <w:rFonts w:ascii="Century Gothic" w:eastAsia="Century Gothic" w:hAnsi="Century Gothic" w:cs="Century Gothic"/>
                <w:b/>
                <w:bCs/>
                <w:sz w:val="24"/>
                <w:szCs w:val="24"/>
              </w:rPr>
              <w:t xml:space="preserve"> Couple (£35)</w:t>
            </w:r>
          </w:p>
        </w:tc>
      </w:tr>
      <w:tr w:rsidR="7B04282D" w14:paraId="1BF944AF" w14:textId="77777777" w:rsidTr="7B04282D">
        <w:trPr>
          <w:trHeight w:val="390"/>
        </w:trPr>
        <w:tc>
          <w:tcPr>
            <w:tcW w:w="5228" w:type="dxa"/>
            <w:vAlign w:val="center"/>
          </w:tcPr>
          <w:p w14:paraId="59313176" w14:textId="4201A13E" w:rsidR="7B04282D" w:rsidRDefault="7B04282D">
            <w:r w:rsidRPr="7B04282D">
              <w:rPr>
                <w:rFonts w:ascii="MS Gothic" w:eastAsia="MS Gothic" w:hAnsi="MS Gothic" w:cs="MS Gothic"/>
                <w:b/>
                <w:bCs/>
                <w:sz w:val="24"/>
                <w:szCs w:val="24"/>
                <w:lang w:val="en-US"/>
              </w:rPr>
              <w:t>☐</w:t>
            </w:r>
            <w:r w:rsidRPr="7B04282D">
              <w:rPr>
                <w:rFonts w:ascii="Century Gothic" w:eastAsia="Century Gothic" w:hAnsi="Century Gothic" w:cs="Century Gothic"/>
                <w:b/>
                <w:bCs/>
                <w:sz w:val="24"/>
                <w:szCs w:val="24"/>
              </w:rPr>
              <w:t xml:space="preserve"> Family (£49)</w:t>
            </w:r>
          </w:p>
        </w:tc>
        <w:tc>
          <w:tcPr>
            <w:tcW w:w="5228" w:type="dxa"/>
            <w:vAlign w:val="center"/>
          </w:tcPr>
          <w:p w14:paraId="2DC36D4F" w14:textId="676BE3E5" w:rsidR="7B04282D" w:rsidRDefault="7B04282D">
            <w:r w:rsidRPr="7B04282D">
              <w:rPr>
                <w:rFonts w:ascii="MS Gothic" w:eastAsia="MS Gothic" w:hAnsi="MS Gothic" w:cs="MS Gothic"/>
                <w:b/>
                <w:bCs/>
                <w:sz w:val="24"/>
                <w:szCs w:val="24"/>
                <w:lang w:val="en-US"/>
              </w:rPr>
              <w:t>☐</w:t>
            </w:r>
            <w:r w:rsidRPr="7B04282D">
              <w:rPr>
                <w:rFonts w:ascii="Century Gothic" w:eastAsia="Century Gothic" w:hAnsi="Century Gothic" w:cs="Century Gothic"/>
                <w:b/>
                <w:bCs/>
                <w:sz w:val="24"/>
                <w:szCs w:val="24"/>
              </w:rPr>
              <w:t xml:space="preserve"> Family (£49)</w:t>
            </w:r>
          </w:p>
        </w:tc>
      </w:tr>
    </w:tbl>
    <w:p w14:paraId="59A800FA" w14:textId="77777777" w:rsidR="00C571F3" w:rsidRDefault="00C571F3">
      <w:pPr>
        <w:rPr>
          <w:rFonts w:ascii="Century Gothic" w:eastAsia="Century Gothic" w:hAnsi="Century Gothic" w:cs="Century Gothic"/>
          <w:b/>
          <w:bCs/>
          <w:sz w:val="12"/>
          <w:szCs w:val="12"/>
        </w:rPr>
      </w:pPr>
    </w:p>
    <w:p w14:paraId="6391B9AA" w14:textId="53400260" w:rsidR="6C2D27FD" w:rsidRDefault="6C2D27FD">
      <w:r w:rsidRPr="7B04282D">
        <w:rPr>
          <w:rFonts w:ascii="Century Gothic" w:eastAsia="Century Gothic" w:hAnsi="Century Gothic" w:cs="Century Gothic"/>
          <w:b/>
          <w:bCs/>
          <w:sz w:val="12"/>
          <w:szCs w:val="12"/>
        </w:rPr>
        <w:t xml:space="preserve"> </w:t>
      </w:r>
      <w:r w:rsidRPr="7B04282D">
        <w:rPr>
          <w:rFonts w:ascii="Century Gothic" w:eastAsia="Century Gothic" w:hAnsi="Century Gothic" w:cs="Century Gothic"/>
          <w:b/>
          <w:bCs/>
          <w:sz w:val="28"/>
          <w:szCs w:val="28"/>
        </w:rPr>
        <w:t>Partners to confirm the following with recipients:</w:t>
      </w:r>
    </w:p>
    <w:p w14:paraId="6690D03B" w14:textId="1C442959" w:rsidR="6C2D27FD" w:rsidRDefault="00681518" w:rsidP="7B04282D">
      <w:pPr>
        <w:pStyle w:val="ListParagraph"/>
        <w:numPr>
          <w:ilvl w:val="0"/>
          <w:numId w:val="1"/>
        </w:numPr>
        <w:rPr>
          <w:rFonts w:asciiTheme="minorHAnsi" w:eastAsiaTheme="minorEastAsia" w:hAnsiTheme="minorHAnsi" w:cstheme="minorBidi"/>
          <w:i/>
          <w:iCs/>
        </w:rPr>
      </w:pPr>
      <w:r>
        <w:rPr>
          <w:rFonts w:ascii="Arial" w:eastAsia="Arial" w:hAnsi="Arial" w:cs="Arial"/>
          <w:i/>
          <w:iCs/>
        </w:rPr>
        <w:t xml:space="preserve">Any </w:t>
      </w:r>
      <w:r w:rsidR="6C2D27FD" w:rsidRPr="7B04282D">
        <w:rPr>
          <w:rFonts w:ascii="Arial" w:eastAsia="Arial" w:hAnsi="Arial" w:cs="Arial"/>
          <w:i/>
          <w:iCs/>
        </w:rPr>
        <w:t xml:space="preserve">Fuel Voucher </w:t>
      </w:r>
      <w:r>
        <w:rPr>
          <w:rFonts w:ascii="Arial" w:eastAsia="Arial" w:hAnsi="Arial" w:cs="Arial"/>
          <w:i/>
          <w:iCs/>
        </w:rPr>
        <w:t xml:space="preserve">issued will be </w:t>
      </w:r>
      <w:r w:rsidR="6C2D27FD" w:rsidRPr="7B04282D">
        <w:rPr>
          <w:rFonts w:ascii="Arial" w:eastAsia="Arial" w:hAnsi="Arial" w:cs="Arial"/>
          <w:i/>
          <w:iCs/>
        </w:rPr>
        <w:t>for their own personal use i.e. in their household only;</w:t>
      </w:r>
    </w:p>
    <w:p w14:paraId="6AD8AB5A" w14:textId="6D86786F" w:rsidR="6C2D27FD" w:rsidRDefault="00681518" w:rsidP="7B04282D">
      <w:pPr>
        <w:pStyle w:val="ListParagraph"/>
        <w:numPr>
          <w:ilvl w:val="0"/>
          <w:numId w:val="1"/>
        </w:numPr>
        <w:rPr>
          <w:rFonts w:asciiTheme="minorHAnsi" w:eastAsiaTheme="minorEastAsia" w:hAnsiTheme="minorHAnsi" w:cstheme="minorBidi"/>
          <w:i/>
          <w:iCs/>
        </w:rPr>
      </w:pPr>
      <w:r>
        <w:rPr>
          <w:rFonts w:ascii="Arial" w:eastAsia="Arial" w:hAnsi="Arial" w:cs="Arial"/>
          <w:i/>
          <w:iCs/>
        </w:rPr>
        <w:t>T</w:t>
      </w:r>
      <w:r w:rsidR="6C2D27FD" w:rsidRPr="7B04282D">
        <w:rPr>
          <w:rFonts w:ascii="Arial" w:eastAsia="Arial" w:hAnsi="Arial" w:cs="Arial"/>
          <w:i/>
          <w:iCs/>
        </w:rPr>
        <w:t>he voucher will expire in 30 days if not used</w:t>
      </w:r>
    </w:p>
    <w:p w14:paraId="40672892" w14:textId="76186E30" w:rsidR="6C2D27FD" w:rsidRDefault="6C2D27FD" w:rsidP="7B04282D">
      <w:pPr>
        <w:pStyle w:val="ListParagraph"/>
        <w:numPr>
          <w:ilvl w:val="0"/>
          <w:numId w:val="1"/>
        </w:numPr>
        <w:rPr>
          <w:rFonts w:asciiTheme="minorHAnsi" w:eastAsiaTheme="minorEastAsia" w:hAnsiTheme="minorHAnsi" w:cstheme="minorBidi"/>
          <w:i/>
          <w:iCs/>
        </w:rPr>
      </w:pPr>
      <w:r w:rsidRPr="7B04282D">
        <w:rPr>
          <w:rFonts w:ascii="Arial" w:eastAsia="Arial" w:hAnsi="Arial" w:cs="Arial"/>
          <w:i/>
          <w:iCs/>
        </w:rPr>
        <w:t>Partner Organisations are required to inform referral that someone from Newground Together will be In touch to confirm the information you have provided and confirm they agree to the processing of their personal data to process their application &amp; report to our funder</w:t>
      </w:r>
    </w:p>
    <w:p w14:paraId="6E18ACC5" w14:textId="2C8EA9BE" w:rsidR="6C2D27FD" w:rsidRPr="00D9389A" w:rsidRDefault="6C2D27FD" w:rsidP="7B04282D">
      <w:pPr>
        <w:pStyle w:val="ListParagraph"/>
        <w:numPr>
          <w:ilvl w:val="0"/>
          <w:numId w:val="1"/>
        </w:numPr>
        <w:rPr>
          <w:rFonts w:asciiTheme="minorHAnsi" w:eastAsiaTheme="minorEastAsia" w:hAnsiTheme="minorHAnsi" w:cstheme="minorBidi"/>
          <w:i/>
          <w:iCs/>
        </w:rPr>
      </w:pPr>
      <w:r w:rsidRPr="7B04282D">
        <w:rPr>
          <w:rFonts w:ascii="Arial" w:eastAsia="Arial" w:hAnsi="Arial" w:cs="Arial"/>
          <w:i/>
          <w:iCs/>
        </w:rPr>
        <w:t>Any inaccurate information provided may mean their voucher application is not processed</w:t>
      </w:r>
    </w:p>
    <w:p w14:paraId="7812A607" w14:textId="77777777" w:rsidR="00D9389A" w:rsidRPr="00D9389A" w:rsidRDefault="00D9389A" w:rsidP="00D9389A">
      <w:pPr>
        <w:rPr>
          <w:rFonts w:asciiTheme="minorHAnsi" w:eastAsiaTheme="minorEastAsia" w:hAnsiTheme="minorHAnsi" w:cstheme="minorBidi"/>
          <w:i/>
          <w:iCs/>
          <w:sz w:val="10"/>
          <w:szCs w:val="10"/>
        </w:rPr>
      </w:pPr>
    </w:p>
    <w:p w14:paraId="7A32ADDC" w14:textId="1418CA3C" w:rsidR="6C2D27FD" w:rsidRDefault="6C2D27FD">
      <w:r w:rsidRPr="7B04282D">
        <w:rPr>
          <w:rFonts w:ascii="Arial" w:eastAsia="Arial" w:hAnsi="Arial" w:cs="Arial"/>
          <w:i/>
          <w:iCs/>
        </w:rPr>
        <w:t xml:space="preserve"> </w:t>
      </w:r>
      <w:r w:rsidRPr="7B04282D">
        <w:rPr>
          <w:rFonts w:eastAsia="Calibri"/>
          <w:b/>
          <w:bCs/>
        </w:rPr>
        <w:t>Any queries please email</w:t>
      </w:r>
      <w:r w:rsidRPr="7B04282D">
        <w:rPr>
          <w:rFonts w:eastAsia="Calibri"/>
        </w:rPr>
        <w:t xml:space="preserve">: </w:t>
      </w:r>
      <w:hyperlink r:id="rId13">
        <w:r w:rsidRPr="7B04282D">
          <w:rPr>
            <w:rStyle w:val="Hyperlink"/>
            <w:rFonts w:eastAsia="Calibri"/>
          </w:rPr>
          <w:t>referrals@newground.co.uk</w:t>
        </w:r>
      </w:hyperlink>
      <w:r w:rsidRPr="7B04282D">
        <w:rPr>
          <w:rFonts w:eastAsia="Calibri"/>
        </w:rPr>
        <w:t xml:space="preserve"> or call </w:t>
      </w:r>
      <w:r w:rsidR="00DF11D0">
        <w:rPr>
          <w:rFonts w:eastAsia="Calibri"/>
        </w:rPr>
        <w:t>07760 568747</w:t>
      </w:r>
      <w:r w:rsidRPr="7B04282D">
        <w:rPr>
          <w:rFonts w:eastAsia="Calibri"/>
        </w:rPr>
        <w:t xml:space="preserve"> </w:t>
      </w:r>
    </w:p>
    <w:sectPr w:rsidR="6C2D27FD" w:rsidSect="00733A8E">
      <w:headerReference w:type="default" r:id="rId14"/>
      <w:footerReference w:type="default" r:id="rId15"/>
      <w:headerReference w:type="first" r:id="rId16"/>
      <w:footerReference w:type="first" r:id="rId17"/>
      <w:pgSz w:w="11906" w:h="16838"/>
      <w:pgMar w:top="720" w:right="720" w:bottom="141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670BC" w14:textId="77777777" w:rsidR="002544DC" w:rsidRDefault="002544DC" w:rsidP="00387134">
      <w:r>
        <w:separator/>
      </w:r>
    </w:p>
  </w:endnote>
  <w:endnote w:type="continuationSeparator" w:id="0">
    <w:p w14:paraId="1AA63DCC" w14:textId="77777777" w:rsidR="002544DC" w:rsidRDefault="002544DC" w:rsidP="0038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2513" w14:textId="77777777" w:rsidR="00387134" w:rsidRDefault="00387134">
    <w:pPr>
      <w:pStyle w:val="Footer"/>
    </w:pPr>
    <w:r w:rsidRPr="00387134">
      <w:rPr>
        <w:noProof/>
      </w:rPr>
      <w:drawing>
        <wp:anchor distT="0" distB="0" distL="114300" distR="114300" simplePos="0" relativeHeight="251658240" behindDoc="1" locked="0" layoutInCell="1" allowOverlap="1" wp14:anchorId="3FAD400E" wp14:editId="747F28E2">
          <wp:simplePos x="0" y="0"/>
          <wp:positionH relativeFrom="page">
            <wp:posOffset>5715</wp:posOffset>
          </wp:positionH>
          <wp:positionV relativeFrom="paragraph">
            <wp:posOffset>44541</wp:posOffset>
          </wp:positionV>
          <wp:extent cx="7554686" cy="734879"/>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686" cy="7348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51BB9" w14:textId="77777777" w:rsidR="00387134" w:rsidRDefault="00387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8842" w14:textId="2476C9FA" w:rsidR="00733A8E" w:rsidRDefault="00733A8E">
    <w:pPr>
      <w:pStyle w:val="Footer"/>
    </w:pPr>
    <w:r w:rsidRPr="00387134">
      <w:rPr>
        <w:noProof/>
      </w:rPr>
      <w:drawing>
        <wp:anchor distT="0" distB="0" distL="114300" distR="114300" simplePos="0" relativeHeight="251662336" behindDoc="1" locked="0" layoutInCell="1" allowOverlap="1" wp14:anchorId="7C2F54C2" wp14:editId="402BC1C6">
          <wp:simplePos x="0" y="0"/>
          <wp:positionH relativeFrom="page">
            <wp:align>right</wp:align>
          </wp:positionH>
          <wp:positionV relativeFrom="paragraph">
            <wp:posOffset>-121920</wp:posOffset>
          </wp:positionV>
          <wp:extent cx="7554686" cy="734879"/>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686" cy="73487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D6DE2" w14:textId="77777777" w:rsidR="002544DC" w:rsidRDefault="002544DC" w:rsidP="00387134">
      <w:r>
        <w:separator/>
      </w:r>
    </w:p>
  </w:footnote>
  <w:footnote w:type="continuationSeparator" w:id="0">
    <w:p w14:paraId="425BE12A" w14:textId="77777777" w:rsidR="002544DC" w:rsidRDefault="002544DC" w:rsidP="0038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03D5" w14:textId="6ECF0223" w:rsidR="007B5BC5" w:rsidRDefault="007B5BC5" w:rsidP="007B5BC5">
    <w:pPr>
      <w:pStyle w:val="Header"/>
      <w:jc w:val="right"/>
    </w:pPr>
  </w:p>
  <w:p w14:paraId="01F07BA6" w14:textId="77777777" w:rsidR="007B5BC5" w:rsidRDefault="007B5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AE23" w14:textId="1691F746" w:rsidR="00733A8E" w:rsidRDefault="00733A8E">
    <w:pPr>
      <w:pStyle w:val="Header"/>
    </w:pPr>
    <w:r>
      <w:rPr>
        <w:noProof/>
      </w:rPr>
      <w:drawing>
        <wp:anchor distT="0" distB="0" distL="114300" distR="114300" simplePos="0" relativeHeight="251660288" behindDoc="1" locked="0" layoutInCell="1" allowOverlap="1" wp14:anchorId="78C7E3F6" wp14:editId="6F8752C7">
          <wp:simplePos x="0" y="0"/>
          <wp:positionH relativeFrom="column">
            <wp:posOffset>5334000</wp:posOffset>
          </wp:positionH>
          <wp:positionV relativeFrom="paragraph">
            <wp:posOffset>-183515</wp:posOffset>
          </wp:positionV>
          <wp:extent cx="1478280" cy="815052"/>
          <wp:effectExtent l="0" t="0" r="762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81505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E3A45"/>
    <w:multiLevelType w:val="hybridMultilevel"/>
    <w:tmpl w:val="A748E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A160B8"/>
    <w:multiLevelType w:val="hybridMultilevel"/>
    <w:tmpl w:val="5E78932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F66404"/>
    <w:multiLevelType w:val="hybridMultilevel"/>
    <w:tmpl w:val="55B22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BB3762"/>
    <w:multiLevelType w:val="hybridMultilevel"/>
    <w:tmpl w:val="EF48612E"/>
    <w:lvl w:ilvl="0" w:tplc="99A4C472">
      <w:start w:val="1"/>
      <w:numFmt w:val="bullet"/>
      <w:lvlText w:val="ü"/>
      <w:lvlJc w:val="left"/>
      <w:pPr>
        <w:ind w:left="720" w:hanging="360"/>
      </w:pPr>
      <w:rPr>
        <w:rFonts w:ascii="Wingdings" w:hAnsi="Wingdings" w:hint="default"/>
      </w:rPr>
    </w:lvl>
    <w:lvl w:ilvl="1" w:tplc="F942E9EA">
      <w:start w:val="1"/>
      <w:numFmt w:val="bullet"/>
      <w:lvlText w:val="o"/>
      <w:lvlJc w:val="left"/>
      <w:pPr>
        <w:ind w:left="1440" w:hanging="360"/>
      </w:pPr>
      <w:rPr>
        <w:rFonts w:ascii="Courier New" w:hAnsi="Courier New" w:hint="default"/>
      </w:rPr>
    </w:lvl>
    <w:lvl w:ilvl="2" w:tplc="697E64BE">
      <w:start w:val="1"/>
      <w:numFmt w:val="bullet"/>
      <w:lvlText w:val=""/>
      <w:lvlJc w:val="left"/>
      <w:pPr>
        <w:ind w:left="2160" w:hanging="360"/>
      </w:pPr>
      <w:rPr>
        <w:rFonts w:ascii="Wingdings" w:hAnsi="Wingdings" w:hint="default"/>
      </w:rPr>
    </w:lvl>
    <w:lvl w:ilvl="3" w:tplc="60843E8C">
      <w:start w:val="1"/>
      <w:numFmt w:val="bullet"/>
      <w:lvlText w:val=""/>
      <w:lvlJc w:val="left"/>
      <w:pPr>
        <w:ind w:left="2880" w:hanging="360"/>
      </w:pPr>
      <w:rPr>
        <w:rFonts w:ascii="Symbol" w:hAnsi="Symbol" w:hint="default"/>
      </w:rPr>
    </w:lvl>
    <w:lvl w:ilvl="4" w:tplc="0526D2AA">
      <w:start w:val="1"/>
      <w:numFmt w:val="bullet"/>
      <w:lvlText w:val="o"/>
      <w:lvlJc w:val="left"/>
      <w:pPr>
        <w:ind w:left="3600" w:hanging="360"/>
      </w:pPr>
      <w:rPr>
        <w:rFonts w:ascii="Courier New" w:hAnsi="Courier New" w:hint="default"/>
      </w:rPr>
    </w:lvl>
    <w:lvl w:ilvl="5" w:tplc="51DE3680">
      <w:start w:val="1"/>
      <w:numFmt w:val="bullet"/>
      <w:lvlText w:val=""/>
      <w:lvlJc w:val="left"/>
      <w:pPr>
        <w:ind w:left="4320" w:hanging="360"/>
      </w:pPr>
      <w:rPr>
        <w:rFonts w:ascii="Wingdings" w:hAnsi="Wingdings" w:hint="default"/>
      </w:rPr>
    </w:lvl>
    <w:lvl w:ilvl="6" w:tplc="1366926E">
      <w:start w:val="1"/>
      <w:numFmt w:val="bullet"/>
      <w:lvlText w:val=""/>
      <w:lvlJc w:val="left"/>
      <w:pPr>
        <w:ind w:left="5040" w:hanging="360"/>
      </w:pPr>
      <w:rPr>
        <w:rFonts w:ascii="Symbol" w:hAnsi="Symbol" w:hint="default"/>
      </w:rPr>
    </w:lvl>
    <w:lvl w:ilvl="7" w:tplc="1A30F89A">
      <w:start w:val="1"/>
      <w:numFmt w:val="bullet"/>
      <w:lvlText w:val="o"/>
      <w:lvlJc w:val="left"/>
      <w:pPr>
        <w:ind w:left="5760" w:hanging="360"/>
      </w:pPr>
      <w:rPr>
        <w:rFonts w:ascii="Courier New" w:hAnsi="Courier New" w:hint="default"/>
      </w:rPr>
    </w:lvl>
    <w:lvl w:ilvl="8" w:tplc="CB540374">
      <w:start w:val="1"/>
      <w:numFmt w:val="bullet"/>
      <w:lvlText w:val=""/>
      <w:lvlJc w:val="left"/>
      <w:pPr>
        <w:ind w:left="6480" w:hanging="360"/>
      </w:pPr>
      <w:rPr>
        <w:rFonts w:ascii="Wingdings" w:hAnsi="Wingdings" w:hint="default"/>
      </w:rPr>
    </w:lvl>
  </w:abstractNum>
  <w:abstractNum w:abstractNumId="4" w15:restartNumberingAfterBreak="0">
    <w:nsid w:val="46EE4EFD"/>
    <w:multiLevelType w:val="hybridMultilevel"/>
    <w:tmpl w:val="0DF25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3A54A9"/>
    <w:multiLevelType w:val="hybridMultilevel"/>
    <w:tmpl w:val="3A1EE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2866D2"/>
    <w:multiLevelType w:val="hybridMultilevel"/>
    <w:tmpl w:val="BD5E32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63358CA"/>
    <w:multiLevelType w:val="hybridMultilevel"/>
    <w:tmpl w:val="128AB39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8D31B0"/>
    <w:multiLevelType w:val="hybridMultilevel"/>
    <w:tmpl w:val="CA0A96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2"/>
  </w:num>
  <w:num w:numId="7">
    <w:abstractNumId w:val="8"/>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BC"/>
    <w:rsid w:val="000728A5"/>
    <w:rsid w:val="001136B3"/>
    <w:rsid w:val="0017690C"/>
    <w:rsid w:val="001B6FCF"/>
    <w:rsid w:val="001D1562"/>
    <w:rsid w:val="001F325D"/>
    <w:rsid w:val="00203574"/>
    <w:rsid w:val="00216BAA"/>
    <w:rsid w:val="002544DC"/>
    <w:rsid w:val="002A43FE"/>
    <w:rsid w:val="002B1DC7"/>
    <w:rsid w:val="002C73C5"/>
    <w:rsid w:val="00387134"/>
    <w:rsid w:val="003B3CEA"/>
    <w:rsid w:val="003B7000"/>
    <w:rsid w:val="00422B43"/>
    <w:rsid w:val="00437564"/>
    <w:rsid w:val="00437FE3"/>
    <w:rsid w:val="004B72E9"/>
    <w:rsid w:val="0052497B"/>
    <w:rsid w:val="00564A2F"/>
    <w:rsid w:val="0056518D"/>
    <w:rsid w:val="005704FD"/>
    <w:rsid w:val="00654E68"/>
    <w:rsid w:val="00681518"/>
    <w:rsid w:val="0069748F"/>
    <w:rsid w:val="006E710D"/>
    <w:rsid w:val="0071096C"/>
    <w:rsid w:val="007229CF"/>
    <w:rsid w:val="00733A8E"/>
    <w:rsid w:val="007B5BC5"/>
    <w:rsid w:val="007E2EA3"/>
    <w:rsid w:val="008005CE"/>
    <w:rsid w:val="00873DE7"/>
    <w:rsid w:val="00886F3B"/>
    <w:rsid w:val="008D1558"/>
    <w:rsid w:val="00904E4C"/>
    <w:rsid w:val="00927EBB"/>
    <w:rsid w:val="009660F5"/>
    <w:rsid w:val="00976A5F"/>
    <w:rsid w:val="009B11F9"/>
    <w:rsid w:val="009B34CD"/>
    <w:rsid w:val="009E066C"/>
    <w:rsid w:val="009F1BA1"/>
    <w:rsid w:val="009F628F"/>
    <w:rsid w:val="00A614CE"/>
    <w:rsid w:val="00AB36F5"/>
    <w:rsid w:val="00B05102"/>
    <w:rsid w:val="00B15CE9"/>
    <w:rsid w:val="00B17925"/>
    <w:rsid w:val="00B53CBC"/>
    <w:rsid w:val="00B71EFC"/>
    <w:rsid w:val="00B80430"/>
    <w:rsid w:val="00BC25F0"/>
    <w:rsid w:val="00BC7D60"/>
    <w:rsid w:val="00C12EBC"/>
    <w:rsid w:val="00C35485"/>
    <w:rsid w:val="00C571F3"/>
    <w:rsid w:val="00C7746E"/>
    <w:rsid w:val="00CA49D4"/>
    <w:rsid w:val="00D02E05"/>
    <w:rsid w:val="00D05027"/>
    <w:rsid w:val="00D15647"/>
    <w:rsid w:val="00D5796C"/>
    <w:rsid w:val="00D9389A"/>
    <w:rsid w:val="00DB47A9"/>
    <w:rsid w:val="00DD352D"/>
    <w:rsid w:val="00DF11D0"/>
    <w:rsid w:val="00EC2A43"/>
    <w:rsid w:val="00F17816"/>
    <w:rsid w:val="00F44EF4"/>
    <w:rsid w:val="00FB0EFC"/>
    <w:rsid w:val="00FB7B00"/>
    <w:rsid w:val="00FD6652"/>
    <w:rsid w:val="078E0520"/>
    <w:rsid w:val="2D6F8391"/>
    <w:rsid w:val="5F9CDD9D"/>
    <w:rsid w:val="6C2D27FD"/>
    <w:rsid w:val="6E103146"/>
    <w:rsid w:val="7B042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E3FCB1"/>
  <w15:chartTrackingRefBased/>
  <w15:docId w15:val="{CD5DB29C-3E02-4797-81E2-0BD257C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CBC"/>
    <w:rPr>
      <w:color w:val="0563C1"/>
      <w:u w:val="single"/>
    </w:rPr>
  </w:style>
  <w:style w:type="paragraph" w:styleId="ListParagraph">
    <w:name w:val="List Paragraph"/>
    <w:basedOn w:val="Normal"/>
    <w:uiPriority w:val="34"/>
    <w:qFormat/>
    <w:rsid w:val="00B53CBC"/>
    <w:pPr>
      <w:ind w:left="720"/>
      <w:contextualSpacing/>
    </w:pPr>
  </w:style>
  <w:style w:type="table" w:styleId="TableGrid">
    <w:name w:val="Table Grid"/>
    <w:basedOn w:val="TableNormal"/>
    <w:uiPriority w:val="59"/>
    <w:rsid w:val="0097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F0"/>
    <w:rPr>
      <w:rFonts w:ascii="Segoe UI" w:hAnsi="Segoe UI" w:cs="Segoe UI"/>
      <w:sz w:val="18"/>
      <w:szCs w:val="18"/>
    </w:rPr>
  </w:style>
  <w:style w:type="paragraph" w:styleId="Header">
    <w:name w:val="header"/>
    <w:basedOn w:val="Normal"/>
    <w:link w:val="HeaderChar"/>
    <w:uiPriority w:val="99"/>
    <w:unhideWhenUsed/>
    <w:rsid w:val="00387134"/>
    <w:pPr>
      <w:tabs>
        <w:tab w:val="center" w:pos="4513"/>
        <w:tab w:val="right" w:pos="9026"/>
      </w:tabs>
    </w:pPr>
  </w:style>
  <w:style w:type="character" w:customStyle="1" w:styleId="HeaderChar">
    <w:name w:val="Header Char"/>
    <w:basedOn w:val="DefaultParagraphFont"/>
    <w:link w:val="Header"/>
    <w:uiPriority w:val="99"/>
    <w:rsid w:val="00387134"/>
    <w:rPr>
      <w:rFonts w:ascii="Calibri" w:hAnsi="Calibri" w:cs="Calibri"/>
    </w:rPr>
  </w:style>
  <w:style w:type="paragraph" w:styleId="Footer">
    <w:name w:val="footer"/>
    <w:basedOn w:val="Normal"/>
    <w:link w:val="FooterChar"/>
    <w:uiPriority w:val="99"/>
    <w:unhideWhenUsed/>
    <w:rsid w:val="00387134"/>
    <w:pPr>
      <w:tabs>
        <w:tab w:val="center" w:pos="4513"/>
        <w:tab w:val="right" w:pos="9026"/>
      </w:tabs>
    </w:pPr>
  </w:style>
  <w:style w:type="character" w:customStyle="1" w:styleId="FooterChar">
    <w:name w:val="Footer Char"/>
    <w:basedOn w:val="DefaultParagraphFont"/>
    <w:link w:val="Footer"/>
    <w:uiPriority w:val="99"/>
    <w:rsid w:val="00387134"/>
    <w:rPr>
      <w:rFonts w:ascii="Calibri" w:hAnsi="Calibri" w:cs="Calibri"/>
    </w:rPr>
  </w:style>
  <w:style w:type="character" w:styleId="CommentReference">
    <w:name w:val="annotation reference"/>
    <w:basedOn w:val="DefaultParagraphFont"/>
    <w:uiPriority w:val="99"/>
    <w:semiHidden/>
    <w:unhideWhenUsed/>
    <w:rsid w:val="007229CF"/>
    <w:rPr>
      <w:sz w:val="16"/>
      <w:szCs w:val="16"/>
    </w:rPr>
  </w:style>
  <w:style w:type="paragraph" w:styleId="CommentText">
    <w:name w:val="annotation text"/>
    <w:basedOn w:val="Normal"/>
    <w:link w:val="CommentTextChar"/>
    <w:uiPriority w:val="99"/>
    <w:semiHidden/>
    <w:unhideWhenUsed/>
    <w:rsid w:val="007229CF"/>
    <w:rPr>
      <w:sz w:val="20"/>
      <w:szCs w:val="20"/>
    </w:rPr>
  </w:style>
  <w:style w:type="character" w:customStyle="1" w:styleId="CommentTextChar">
    <w:name w:val="Comment Text Char"/>
    <w:basedOn w:val="DefaultParagraphFont"/>
    <w:link w:val="CommentText"/>
    <w:uiPriority w:val="99"/>
    <w:semiHidden/>
    <w:rsid w:val="007229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29CF"/>
    <w:rPr>
      <w:b/>
      <w:bCs/>
    </w:rPr>
  </w:style>
  <w:style w:type="character" w:customStyle="1" w:styleId="CommentSubjectChar">
    <w:name w:val="Comment Subject Char"/>
    <w:basedOn w:val="CommentTextChar"/>
    <w:link w:val="CommentSubject"/>
    <w:uiPriority w:val="99"/>
    <w:semiHidden/>
    <w:rsid w:val="007229CF"/>
    <w:rPr>
      <w:rFonts w:ascii="Calibri" w:hAnsi="Calibri" w:cs="Calibri"/>
      <w:b/>
      <w:bCs/>
      <w:sz w:val="20"/>
      <w:szCs w:val="20"/>
    </w:rPr>
  </w:style>
  <w:style w:type="character" w:styleId="UnresolvedMention">
    <w:name w:val="Unresolved Mention"/>
    <w:basedOn w:val="DefaultParagraphFont"/>
    <w:uiPriority w:val="99"/>
    <w:semiHidden/>
    <w:unhideWhenUsed/>
    <w:rsid w:val="00733A8E"/>
    <w:rPr>
      <w:color w:val="605E5C"/>
      <w:shd w:val="clear" w:color="auto" w:fill="E1DFDD"/>
    </w:rPr>
  </w:style>
  <w:style w:type="character" w:styleId="FollowedHyperlink">
    <w:name w:val="FollowedHyperlink"/>
    <w:basedOn w:val="DefaultParagraphFont"/>
    <w:uiPriority w:val="99"/>
    <w:semiHidden/>
    <w:unhideWhenUsed/>
    <w:rsid w:val="002035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4260">
      <w:bodyDiv w:val="1"/>
      <w:marLeft w:val="0"/>
      <w:marRight w:val="0"/>
      <w:marTop w:val="0"/>
      <w:marBottom w:val="0"/>
      <w:divBdr>
        <w:top w:val="none" w:sz="0" w:space="0" w:color="auto"/>
        <w:left w:val="none" w:sz="0" w:space="0" w:color="auto"/>
        <w:bottom w:val="none" w:sz="0" w:space="0" w:color="auto"/>
        <w:right w:val="none" w:sz="0" w:space="0" w:color="auto"/>
      </w:divBdr>
    </w:div>
    <w:div w:id="301425186">
      <w:bodyDiv w:val="1"/>
      <w:marLeft w:val="0"/>
      <w:marRight w:val="0"/>
      <w:marTop w:val="0"/>
      <w:marBottom w:val="0"/>
      <w:divBdr>
        <w:top w:val="none" w:sz="0" w:space="0" w:color="auto"/>
        <w:left w:val="none" w:sz="0" w:space="0" w:color="auto"/>
        <w:bottom w:val="none" w:sz="0" w:space="0" w:color="auto"/>
        <w:right w:val="none" w:sz="0" w:space="0" w:color="auto"/>
      </w:divBdr>
      <w:divsChild>
        <w:div w:id="1765959397">
          <w:marLeft w:val="0"/>
          <w:marRight w:val="0"/>
          <w:marTop w:val="0"/>
          <w:marBottom w:val="0"/>
          <w:divBdr>
            <w:top w:val="none" w:sz="0" w:space="0" w:color="auto"/>
            <w:left w:val="none" w:sz="0" w:space="0" w:color="auto"/>
            <w:bottom w:val="none" w:sz="0" w:space="0" w:color="auto"/>
            <w:right w:val="none" w:sz="0" w:space="0" w:color="auto"/>
          </w:divBdr>
        </w:div>
      </w:divsChild>
    </w:div>
    <w:div w:id="5870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ferrals@newground.co.uk?subject=Energy%20Redress%20Scheme%20Referr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ferrals@newground.co.uk?subject=Energy%20Redress%20Scheme%20Referra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ferrals@newground.co.uk?subject=Energy%20Redress%20Scheme%20Referr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87A7330BD2345B6C9F9465A9F8FB2" ma:contentTypeVersion="8" ma:contentTypeDescription="Create a new document." ma:contentTypeScope="" ma:versionID="5e2483f1c62c024e702bc0b1731ac553">
  <xsd:schema xmlns:xsd="http://www.w3.org/2001/XMLSchema" xmlns:xs="http://www.w3.org/2001/XMLSchema" xmlns:p="http://schemas.microsoft.com/office/2006/metadata/properties" xmlns:ns2="77313b2d-35c2-4108-a23e-6c3fee0e5fe7" targetNamespace="http://schemas.microsoft.com/office/2006/metadata/properties" ma:root="true" ma:fieldsID="ab08497f9ec4503f945c79adc18f7f3e" ns2:_="">
    <xsd:import namespace="77313b2d-35c2-4108-a23e-6c3fee0e5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13b2d-35c2-4108-a23e-6c3fee0e5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B60A0-17C9-4BA2-9124-3D45DC4343D1}">
  <ds:schemaRef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77313b2d-35c2-4108-a23e-6c3fee0e5fe7"/>
    <ds:schemaRef ds:uri="http://www.w3.org/XML/1998/namespace"/>
  </ds:schemaRefs>
</ds:datastoreItem>
</file>

<file path=customXml/itemProps2.xml><?xml version="1.0" encoding="utf-8"?>
<ds:datastoreItem xmlns:ds="http://schemas.openxmlformats.org/officeDocument/2006/customXml" ds:itemID="{4C7833F4-68CA-4FFA-BEAC-427903DE7D4A}">
  <ds:schemaRefs>
    <ds:schemaRef ds:uri="http://schemas.microsoft.com/sharepoint/v3/contenttype/forms"/>
  </ds:schemaRefs>
</ds:datastoreItem>
</file>

<file path=customXml/itemProps3.xml><?xml version="1.0" encoding="utf-8"?>
<ds:datastoreItem xmlns:ds="http://schemas.openxmlformats.org/officeDocument/2006/customXml" ds:itemID="{2C035856-3747-4077-B1D4-0E26776D4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13b2d-35c2-4108-a23e-6c3fee0e5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365 Domain</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Hutchinson</dc:creator>
  <cp:keywords/>
  <dc:description/>
  <cp:lastModifiedBy>Andrew Brown</cp:lastModifiedBy>
  <cp:revision>2</cp:revision>
  <dcterms:created xsi:type="dcterms:W3CDTF">2021-04-19T11:31:00Z</dcterms:created>
  <dcterms:modified xsi:type="dcterms:W3CDTF">2021-04-19T11:31:00Z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0x0101000E487A7330BD2345B6C9F9465A9F8FB2</vt:lpwstr>
  </property>
</Properties>
</file>